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90" w:rsidRPr="00BA524E" w:rsidRDefault="00E54190" w:rsidP="001212DD">
      <w:pPr>
        <w:pStyle w:val="Heading1"/>
        <w:rPr>
          <w:b/>
          <w:sz w:val="22"/>
          <w:szCs w:val="22"/>
        </w:rPr>
      </w:pPr>
      <w:r w:rsidRPr="00BA524E">
        <w:rPr>
          <w:b/>
          <w:sz w:val="22"/>
          <w:szCs w:val="22"/>
        </w:rPr>
        <w:t xml:space="preserve">Table </w:t>
      </w:r>
      <w:r w:rsidR="00FC2CA2" w:rsidRPr="00BA524E">
        <w:rPr>
          <w:b/>
          <w:sz w:val="22"/>
          <w:szCs w:val="22"/>
        </w:rPr>
        <w:t>AF1</w:t>
      </w:r>
      <w:r w:rsidR="00F36482">
        <w:rPr>
          <w:b/>
          <w:sz w:val="22"/>
          <w:szCs w:val="22"/>
        </w:rPr>
        <w:t>2</w:t>
      </w:r>
      <w:r w:rsidRPr="00BA524E">
        <w:rPr>
          <w:b/>
          <w:sz w:val="22"/>
          <w:szCs w:val="22"/>
        </w:rPr>
        <w:t xml:space="preserve">. Summary of tools: feasibility  </w:t>
      </w:r>
    </w:p>
    <w:p w:rsidR="00EA759E" w:rsidRPr="00BA524E" w:rsidRDefault="00FC2CA2" w:rsidP="00A74322">
      <w:pPr>
        <w:pStyle w:val="Heading1"/>
        <w:spacing w:line="240" w:lineRule="auto"/>
        <w:rPr>
          <w:sz w:val="22"/>
          <w:szCs w:val="22"/>
        </w:rPr>
      </w:pPr>
      <w:r w:rsidRPr="00BA524E">
        <w:rPr>
          <w:sz w:val="22"/>
          <w:szCs w:val="22"/>
        </w:rPr>
        <w:t>Summary</w:t>
      </w:r>
      <w:r w:rsidR="001212DD" w:rsidRPr="00BA524E">
        <w:rPr>
          <w:sz w:val="22"/>
          <w:szCs w:val="22"/>
        </w:rPr>
        <w:t xml:space="preserve"> of the data on the feasibility of the tools, extracted from the reviews, analysed in terms of ‘dimensions’ of feasibility – ease of use, time to complete, availability of instruction and guidelines, training required</w:t>
      </w:r>
      <w:r w:rsidR="00DC0D5B" w:rsidRPr="00BA524E">
        <w:rPr>
          <w:sz w:val="22"/>
          <w:szCs w:val="22"/>
        </w:rPr>
        <w:t xml:space="preserve"> (table cells left empty when no data were available)</w:t>
      </w:r>
      <w:r w:rsidR="001212DD" w:rsidRPr="00BA524E">
        <w:rPr>
          <w:sz w:val="22"/>
          <w:szCs w:val="22"/>
        </w:rPr>
        <w:t xml:space="preserve">. </w:t>
      </w:r>
    </w:p>
    <w:tbl>
      <w:tblPr>
        <w:tblStyle w:val="TableGrid"/>
        <w:tblW w:w="5218" w:type="pct"/>
        <w:tblLook w:val="04A0" w:firstRow="1" w:lastRow="0" w:firstColumn="1" w:lastColumn="0" w:noHBand="0" w:noVBand="1"/>
      </w:tblPr>
      <w:tblGrid>
        <w:gridCol w:w="1503"/>
        <w:gridCol w:w="1503"/>
        <w:gridCol w:w="1592"/>
        <w:gridCol w:w="1905"/>
        <w:gridCol w:w="1828"/>
        <w:gridCol w:w="2370"/>
        <w:gridCol w:w="1947"/>
        <w:gridCol w:w="2145"/>
      </w:tblGrid>
      <w:tr w:rsidR="006E12BF" w:rsidRPr="00BA524E" w:rsidTr="00093FD6">
        <w:tc>
          <w:tcPr>
            <w:tcW w:w="508" w:type="pct"/>
          </w:tcPr>
          <w:p w:rsidR="006E12BF" w:rsidRPr="00F5110A" w:rsidRDefault="006E12BF" w:rsidP="00DE45A1">
            <w:pPr>
              <w:spacing w:before="0" w:line="240" w:lineRule="auto"/>
              <w:jc w:val="center"/>
              <w:rPr>
                <w:rFonts w:asciiTheme="minorHAnsi" w:hAnsiTheme="minorHAnsi"/>
                <w:b/>
                <w:sz w:val="20"/>
                <w:szCs w:val="20"/>
              </w:rPr>
            </w:pPr>
            <w:r w:rsidRPr="00F5110A">
              <w:rPr>
                <w:rFonts w:asciiTheme="minorHAnsi" w:hAnsiTheme="minorHAnsi"/>
                <w:b/>
                <w:sz w:val="20"/>
                <w:szCs w:val="20"/>
              </w:rPr>
              <w:t>Review ID</w:t>
            </w:r>
          </w:p>
        </w:tc>
        <w:tc>
          <w:tcPr>
            <w:tcW w:w="50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Name of Tool</w:t>
            </w:r>
          </w:p>
        </w:tc>
        <w:tc>
          <w:tcPr>
            <w:tcW w:w="53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 xml:space="preserve">Overall ‘Ease of use’ </w:t>
            </w:r>
          </w:p>
        </w:tc>
        <w:tc>
          <w:tcPr>
            <w:tcW w:w="644"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Time to complete</w:t>
            </w:r>
          </w:p>
        </w:tc>
        <w:tc>
          <w:tcPr>
            <w:tcW w:w="61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Instructions on use</w:t>
            </w:r>
          </w:p>
        </w:tc>
        <w:tc>
          <w:tcPr>
            <w:tcW w:w="801"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Guidelines on scoring</w:t>
            </w:r>
          </w:p>
        </w:tc>
        <w:tc>
          <w:tcPr>
            <w:tcW w:w="65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Training</w:t>
            </w:r>
          </w:p>
        </w:tc>
        <w:tc>
          <w:tcPr>
            <w:tcW w:w="725"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b/>
                <w:sz w:val="20"/>
                <w:szCs w:val="20"/>
              </w:rPr>
              <w:t>Other evidence of/claims for feasibility</w:t>
            </w:r>
          </w:p>
        </w:tc>
      </w:tr>
      <w:tr w:rsidR="006E12BF" w:rsidRPr="00BA524E" w:rsidTr="00093FD6">
        <w:tc>
          <w:tcPr>
            <w:tcW w:w="508" w:type="pct"/>
          </w:tcPr>
          <w:p w:rsidR="006E12BF" w:rsidRPr="00F5110A" w:rsidRDefault="006E12BF" w:rsidP="00DE45A1">
            <w:pPr>
              <w:spacing w:before="0" w:line="240" w:lineRule="auto"/>
              <w:jc w:val="center"/>
              <w:rPr>
                <w:rFonts w:asciiTheme="minorHAnsi" w:hAnsiTheme="minorHAnsi"/>
                <w:b/>
                <w:sz w:val="20"/>
                <w:szCs w:val="20"/>
              </w:rPr>
            </w:pPr>
            <w:r w:rsidRPr="00E050C2">
              <w:rPr>
                <w:rFonts w:asciiTheme="minorHAnsi" w:hAnsiTheme="minorHAnsi"/>
                <w:color w:val="000000"/>
                <w:sz w:val="20"/>
                <w:szCs w:val="20"/>
              </w:rPr>
              <w:t>[21] [22] [27] [37] [41] [42] [44]</w:t>
            </w:r>
          </w:p>
        </w:tc>
        <w:tc>
          <w:tcPr>
            <w:tcW w:w="508" w:type="pct"/>
            <w:shd w:val="clear" w:color="auto" w:fill="auto"/>
          </w:tcPr>
          <w:p w:rsidR="006E12BF" w:rsidRPr="00BA524E" w:rsidRDefault="006E12BF" w:rsidP="00DC0D5B">
            <w:pPr>
              <w:spacing w:before="0" w:line="240" w:lineRule="auto"/>
              <w:jc w:val="left"/>
              <w:rPr>
                <w:rFonts w:asciiTheme="minorHAnsi" w:hAnsiTheme="minorHAnsi"/>
                <w:b/>
                <w:sz w:val="20"/>
                <w:szCs w:val="20"/>
              </w:rPr>
            </w:pPr>
            <w:r w:rsidRPr="00BA524E">
              <w:rPr>
                <w:rFonts w:asciiTheme="minorHAnsi" w:hAnsiTheme="minorHAnsi"/>
                <w:b/>
                <w:color w:val="000000"/>
                <w:sz w:val="20"/>
                <w:szCs w:val="20"/>
              </w:rPr>
              <w:t>Abbey Pain Scale</w:t>
            </w:r>
          </w:p>
        </w:tc>
        <w:tc>
          <w:tcPr>
            <w:tcW w:w="53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sz w:val="20"/>
                <w:szCs w:val="20"/>
              </w:rPr>
              <w:t xml:space="preserve">Three reviews indicated that this scale is easy to use. One review stated that it is a </w:t>
            </w:r>
            <w:r w:rsidRPr="00BA524E">
              <w:rPr>
                <w:rFonts w:asciiTheme="minorHAnsi" w:hAnsiTheme="minorHAnsi" w:cs="GillSans"/>
                <w:sz w:val="20"/>
                <w:szCs w:val="20"/>
              </w:rPr>
              <w:t xml:space="preserve">short and  manageable scale. </w:t>
            </w:r>
          </w:p>
        </w:tc>
        <w:tc>
          <w:tcPr>
            <w:tcW w:w="644"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sz w:val="20"/>
                <w:szCs w:val="20"/>
              </w:rPr>
              <w:t xml:space="preserve">Reviews agreed that it takes apparently </w:t>
            </w:r>
            <w:r w:rsidRPr="00BA524E">
              <w:rPr>
                <w:rFonts w:asciiTheme="minorHAnsi" w:eastAsia="Times New Roman" w:hAnsiTheme="minorHAnsi" w:cs="Times New Roman"/>
                <w:color w:val="000000"/>
                <w:sz w:val="20"/>
                <w:szCs w:val="20"/>
                <w:lang w:eastAsia="en-GB"/>
              </w:rPr>
              <w:t xml:space="preserve">1 minute to complete but one review states that there is </w:t>
            </w:r>
            <w:r w:rsidRPr="00BA524E">
              <w:rPr>
                <w:rFonts w:asciiTheme="minorHAnsi" w:hAnsiTheme="minorHAnsi" w:cs="AdvPSA33E"/>
                <w:sz w:val="20"/>
                <w:szCs w:val="20"/>
              </w:rPr>
              <w:t xml:space="preserve">no published data to support this; another review suggests that information was derived from qualitative analysis of nurses’ feedback after testing. </w:t>
            </w:r>
          </w:p>
        </w:tc>
        <w:tc>
          <w:tcPr>
            <w:tcW w:w="618" w:type="pct"/>
            <w:shd w:val="clear" w:color="auto" w:fill="auto"/>
          </w:tcPr>
          <w:p w:rsidR="006E12BF" w:rsidRPr="00BA524E" w:rsidRDefault="006E12BF" w:rsidP="00DF0452">
            <w:pPr>
              <w:spacing w:before="0" w:line="240" w:lineRule="auto"/>
              <w:jc w:val="left"/>
              <w:rPr>
                <w:rFonts w:asciiTheme="minorHAnsi" w:hAnsiTheme="minorHAnsi"/>
                <w:sz w:val="20"/>
                <w:szCs w:val="20"/>
              </w:rPr>
            </w:pPr>
            <w:r w:rsidRPr="00BA524E">
              <w:rPr>
                <w:rFonts w:asciiTheme="minorHAnsi" w:hAnsiTheme="minorHAnsi"/>
                <w:sz w:val="20"/>
                <w:szCs w:val="20"/>
              </w:rPr>
              <w:t xml:space="preserve">Three reviews stated that clear instructions (specifically for scoring) and detailed item definitions are lacking. One review identified that </w:t>
            </w:r>
            <w:r w:rsidRPr="00BA524E">
              <w:rPr>
                <w:rFonts w:asciiTheme="minorHAnsi" w:hAnsiTheme="minorHAnsi" w:cs="AdvPSA33E"/>
                <w:sz w:val="20"/>
                <w:szCs w:val="20"/>
              </w:rPr>
              <w:t xml:space="preserve">few limited instructions are provided on the tool schema and some are presented on a poster. The same review points out that nurses are asked to use the tool when pain is suspected, but that it is unclear what triggers the assessment. </w:t>
            </w:r>
          </w:p>
        </w:tc>
        <w:tc>
          <w:tcPr>
            <w:tcW w:w="801" w:type="pct"/>
            <w:shd w:val="clear" w:color="auto" w:fill="auto"/>
          </w:tcPr>
          <w:p w:rsidR="006E12BF" w:rsidRPr="00BA524E" w:rsidRDefault="006E12BF" w:rsidP="00212E72">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(see instructions on use)</w:t>
            </w:r>
          </w:p>
          <w:p w:rsidR="006E12BF" w:rsidRPr="00BA524E" w:rsidRDefault="006E12BF" w:rsidP="00212E72">
            <w:pPr>
              <w:spacing w:before="0" w:line="240" w:lineRule="auto"/>
              <w:jc w:val="left"/>
              <w:rPr>
                <w:rFonts w:asciiTheme="minorHAnsi" w:hAnsiTheme="minorHAnsi"/>
                <w:sz w:val="20"/>
                <w:szCs w:val="20"/>
              </w:rPr>
            </w:pPr>
          </w:p>
        </w:tc>
        <w:tc>
          <w:tcPr>
            <w:tcW w:w="658" w:type="pct"/>
            <w:shd w:val="clear" w:color="auto" w:fill="auto"/>
          </w:tcPr>
          <w:p w:rsidR="006E12BF" w:rsidRPr="00BA524E" w:rsidRDefault="006E12BF" w:rsidP="00212E72">
            <w:pPr>
              <w:spacing w:before="0" w:line="240" w:lineRule="auto"/>
              <w:jc w:val="left"/>
              <w:rPr>
                <w:rFonts w:asciiTheme="minorHAnsi" w:hAnsiTheme="minorHAnsi"/>
                <w:b/>
                <w:sz w:val="20"/>
                <w:szCs w:val="20"/>
              </w:rPr>
            </w:pPr>
            <w:r w:rsidRPr="00BA524E">
              <w:rPr>
                <w:rFonts w:asciiTheme="minorHAnsi" w:hAnsiTheme="minorHAnsi"/>
                <w:sz w:val="20"/>
                <w:szCs w:val="20"/>
              </w:rPr>
              <w:t xml:space="preserve">One review mentioned that the level and length of training required is not reported. </w:t>
            </w:r>
          </w:p>
        </w:tc>
        <w:tc>
          <w:tcPr>
            <w:tcW w:w="725" w:type="pct"/>
            <w:shd w:val="clear" w:color="auto" w:fill="auto"/>
          </w:tcPr>
          <w:p w:rsidR="006E12BF"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E050C2">
              <w:rPr>
                <w:rFonts w:asciiTheme="minorHAnsi" w:hAnsiTheme="minorHAnsi"/>
                <w:color w:val="000000"/>
                <w:sz w:val="20"/>
                <w:szCs w:val="20"/>
              </w:rPr>
              <w:t>[27] [37] [43]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hAnsiTheme="minorHAnsi"/>
                <w:b/>
                <w:color w:val="000000"/>
                <w:sz w:val="20"/>
                <w:szCs w:val="20"/>
              </w:rPr>
              <w:t>ADD Protocol</w:t>
            </w:r>
          </w:p>
        </w:tc>
        <w:tc>
          <w:tcPr>
            <w:tcW w:w="53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hAnsiTheme="minorHAnsi"/>
                <w:sz w:val="20"/>
                <w:szCs w:val="20"/>
              </w:rPr>
              <w:t xml:space="preserve">Two reviews suggested that this tool appears complex, because it </w:t>
            </w:r>
            <w:r w:rsidRPr="00BA524E">
              <w:rPr>
                <w:rFonts w:asciiTheme="minorHAnsi" w:hAnsiTheme="minorHAnsi" w:cs="AdvPSA33E"/>
                <w:sz w:val="20"/>
                <w:szCs w:val="20"/>
              </w:rPr>
              <w:t xml:space="preserve">involves </w:t>
            </w:r>
            <w:r w:rsidRPr="00BA524E">
              <w:rPr>
                <w:rFonts w:asciiTheme="minorHAnsi" w:hAnsiTheme="minorHAnsi" w:cs="AdvPSA33E"/>
                <w:sz w:val="20"/>
                <w:szCs w:val="20"/>
              </w:rPr>
              <w:lastRenderedPageBreak/>
              <w:t xml:space="preserve">multiple steps and may require additional documentation to complete. </w:t>
            </w:r>
          </w:p>
        </w:tc>
        <w:tc>
          <w:tcPr>
            <w:tcW w:w="644"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lastRenderedPageBreak/>
              <w:t xml:space="preserve">One review suggested that the use of the tool may require a considerable amount of time. </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spacing w:before="0" w:line="240" w:lineRule="auto"/>
              <w:jc w:val="left"/>
              <w:rPr>
                <w:rFonts w:asciiTheme="minorHAnsi" w:hAnsiTheme="minorHAnsi"/>
                <w:sz w:val="20"/>
                <w:szCs w:val="20"/>
              </w:rPr>
            </w:pPr>
          </w:p>
        </w:tc>
        <w:tc>
          <w:tcPr>
            <w:tcW w:w="618" w:type="pct"/>
            <w:shd w:val="clear" w:color="auto" w:fill="auto"/>
          </w:tcPr>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lastRenderedPageBreak/>
              <w:t xml:space="preserve">One review reported that method of administration is adequately described in </w:t>
            </w:r>
            <w:r w:rsidRPr="00BA524E">
              <w:rPr>
                <w:rFonts w:asciiTheme="minorHAnsi" w:eastAsia="Times New Roman" w:hAnsiTheme="minorHAnsi" w:cs="Times New Roman"/>
                <w:color w:val="000000"/>
                <w:sz w:val="20"/>
                <w:szCs w:val="20"/>
                <w:lang w:eastAsia="en-GB"/>
              </w:rPr>
              <w:lastRenderedPageBreak/>
              <w:t xml:space="preserve">articles about the tool. </w:t>
            </w:r>
          </w:p>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lastRenderedPageBreak/>
              <w:t>-</w:t>
            </w:r>
          </w:p>
        </w:tc>
        <w:tc>
          <w:tcPr>
            <w:tcW w:w="658" w:type="pct"/>
            <w:shd w:val="clear" w:color="auto" w:fill="auto"/>
          </w:tcPr>
          <w:p w:rsidR="00093FD6" w:rsidRPr="00BA524E" w:rsidRDefault="00093FD6" w:rsidP="00212E72">
            <w:pPr>
              <w:spacing w:before="0" w:line="240" w:lineRule="auto"/>
              <w:jc w:val="left"/>
              <w:rPr>
                <w:rFonts w:asciiTheme="minorHAnsi" w:hAnsiTheme="minorHAnsi" w:cs="AdvPSA33E"/>
                <w:sz w:val="20"/>
                <w:szCs w:val="20"/>
              </w:rPr>
            </w:pPr>
            <w:r w:rsidRPr="00BA524E">
              <w:rPr>
                <w:rFonts w:asciiTheme="minorHAnsi" w:eastAsia="Times New Roman" w:hAnsiTheme="minorHAnsi" w:cs="Times New Roman"/>
                <w:color w:val="000000"/>
                <w:sz w:val="20"/>
                <w:szCs w:val="20"/>
                <w:lang w:eastAsia="en-GB"/>
              </w:rPr>
              <w:t xml:space="preserve">Two reviews recognised the need for extensive training/education: one states that extensive training is </w:t>
            </w:r>
            <w:r w:rsidRPr="00BA524E">
              <w:rPr>
                <w:rFonts w:asciiTheme="minorHAnsi" w:eastAsia="Times New Roman" w:hAnsiTheme="minorHAnsi" w:cs="Times New Roman"/>
                <w:color w:val="000000"/>
                <w:sz w:val="20"/>
                <w:szCs w:val="20"/>
                <w:lang w:eastAsia="en-GB"/>
              </w:rPr>
              <w:lastRenderedPageBreak/>
              <w:t xml:space="preserve">required before use of the tool; the other that because the protocol </w:t>
            </w:r>
            <w:r w:rsidRPr="00BA524E">
              <w:rPr>
                <w:rFonts w:asciiTheme="minorHAnsi" w:hAnsiTheme="minorHAnsi" w:cs="AdvPSA33E"/>
                <w:sz w:val="20"/>
                <w:szCs w:val="20"/>
              </w:rPr>
              <w:t xml:space="preserve">involves complex clinical decisions, it also requires extensive education. </w:t>
            </w:r>
          </w:p>
        </w:tc>
        <w:tc>
          <w:tcPr>
            <w:tcW w:w="725"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cs="Times-Roman"/>
                <w:sz w:val="20"/>
                <w:szCs w:val="20"/>
              </w:rPr>
            </w:pPr>
            <w:r w:rsidRPr="00BA524E">
              <w:rPr>
                <w:rFonts w:asciiTheme="minorHAnsi" w:hAnsiTheme="minorHAnsi"/>
                <w:color w:val="000000"/>
                <w:sz w:val="20"/>
                <w:szCs w:val="20"/>
              </w:rPr>
              <w:lastRenderedPageBreak/>
              <w:t xml:space="preserve">Two reviews concluded that the </w:t>
            </w:r>
            <w:r w:rsidRPr="00BA524E">
              <w:rPr>
                <w:rFonts w:asciiTheme="minorHAnsi" w:hAnsiTheme="minorHAnsi" w:cs="AdvPSA33E"/>
                <w:sz w:val="20"/>
                <w:szCs w:val="20"/>
              </w:rPr>
              <w:t xml:space="preserve">protocol appears to be comprehensive and conceptually sound but that it may be too </w:t>
            </w:r>
            <w:r w:rsidRPr="00BA524E">
              <w:rPr>
                <w:rFonts w:asciiTheme="minorHAnsi" w:hAnsiTheme="minorHAnsi" w:cs="AdvPSA33E"/>
                <w:sz w:val="20"/>
                <w:szCs w:val="20"/>
              </w:rPr>
              <w:lastRenderedPageBreak/>
              <w:t xml:space="preserve">complex for routine use and requires extensive training. One of the two reviews concludes that  </w:t>
            </w:r>
            <w:r w:rsidRPr="00BA524E">
              <w:rPr>
                <w:rFonts w:asciiTheme="minorHAnsi" w:hAnsiTheme="minorHAnsi" w:cs="Times-Roman"/>
                <w:sz w:val="20"/>
                <w:szCs w:val="20"/>
              </w:rPr>
              <w:t xml:space="preserve">it may not be </w:t>
            </w:r>
            <w:r w:rsidRPr="00BA524E">
              <w:rPr>
                <w:rFonts w:asciiTheme="minorHAnsi" w:hAnsiTheme="minorHAnsi" w:cs="Times-Roman"/>
                <w:i/>
                <w:sz w:val="20"/>
                <w:szCs w:val="20"/>
              </w:rPr>
              <w:t>clinically practical</w:t>
            </w:r>
            <w:r w:rsidRPr="00BA524E">
              <w:rPr>
                <w:rFonts w:asciiTheme="minorHAnsi" w:hAnsiTheme="minorHAnsi" w:cs="Times-Roman"/>
                <w:sz w:val="20"/>
                <w:szCs w:val="20"/>
              </w:rPr>
              <w:t xml:space="preserve"> for use in nursing homes. </w:t>
            </w:r>
          </w:p>
          <w:p w:rsidR="00093FD6" w:rsidRPr="00BA524E" w:rsidRDefault="00093FD6" w:rsidP="00212E72">
            <w:pPr>
              <w:autoSpaceDE w:val="0"/>
              <w:autoSpaceDN w:val="0"/>
              <w:adjustRightInd w:val="0"/>
              <w:spacing w:before="0" w:line="240" w:lineRule="auto"/>
              <w:jc w:val="left"/>
              <w:rPr>
                <w:rFonts w:asciiTheme="minorHAnsi" w:hAnsiTheme="minorHAnsi" w:cs="AdvPSA33E"/>
                <w:sz w:val="20"/>
                <w:szCs w:val="20"/>
              </w:rPr>
            </w:pPr>
            <w:r w:rsidRPr="00BA524E">
              <w:rPr>
                <w:rFonts w:asciiTheme="minorHAnsi" w:hAnsiTheme="minorHAnsi" w:cs="AdvTTaa6ae907"/>
                <w:sz w:val="20"/>
                <w:szCs w:val="20"/>
              </w:rPr>
              <w:t xml:space="preserve">One review reported that “evaluation of the protocol identified a number of problems with its use“ including time and lack of education </w:t>
            </w:r>
            <w:r w:rsidRPr="007936D1">
              <w:rPr>
                <w:rFonts w:asciiTheme="minorHAnsi" w:hAnsiTheme="minorHAnsi" w:cs="AdvTTaa6ae907"/>
                <w:sz w:val="20"/>
                <w:szCs w:val="20"/>
              </w:rPr>
              <w:t>[27].</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E050C2">
              <w:rPr>
                <w:rFonts w:asciiTheme="minorHAnsi" w:hAnsiTheme="minorHAnsi"/>
                <w:color w:val="000000"/>
                <w:sz w:val="20"/>
                <w:szCs w:val="20"/>
              </w:rPr>
              <w:lastRenderedPageBreak/>
              <w:t>[42]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sz w:val="20"/>
                <w:szCs w:val="20"/>
              </w:rPr>
            </w:pPr>
            <w:proofErr w:type="spellStart"/>
            <w:r w:rsidRPr="00BA524E">
              <w:rPr>
                <w:rFonts w:asciiTheme="minorHAnsi" w:hAnsiTheme="minorHAnsi"/>
                <w:b/>
                <w:color w:val="000000"/>
                <w:sz w:val="20"/>
                <w:szCs w:val="20"/>
              </w:rPr>
              <w:t>Behavior</w:t>
            </w:r>
            <w:proofErr w:type="spellEnd"/>
            <w:r w:rsidRPr="00BA524E">
              <w:rPr>
                <w:rFonts w:asciiTheme="minorHAnsi" w:hAnsiTheme="minorHAnsi"/>
                <w:b/>
                <w:color w:val="000000"/>
                <w:sz w:val="20"/>
                <w:szCs w:val="20"/>
              </w:rPr>
              <w:t xml:space="preserve"> checklist</w:t>
            </w:r>
          </w:p>
        </w:tc>
        <w:tc>
          <w:tcPr>
            <w:tcW w:w="53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One review suggested that the tool appears to be easy to use.</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E050C2" w:rsidRDefault="00093FD6" w:rsidP="00DE45A1">
            <w:pPr>
              <w:spacing w:before="0" w:line="240" w:lineRule="auto"/>
              <w:jc w:val="center"/>
              <w:rPr>
                <w:rFonts w:asciiTheme="minorHAnsi" w:hAnsiTheme="minorHAnsi"/>
                <w:sz w:val="20"/>
                <w:szCs w:val="20"/>
              </w:rPr>
            </w:pPr>
            <w:r w:rsidRPr="00E050C2">
              <w:rPr>
                <w:rFonts w:asciiTheme="minorHAnsi" w:hAnsiTheme="minorHAnsi"/>
                <w:sz w:val="20"/>
                <w:szCs w:val="20"/>
              </w:rPr>
              <w:t>[21] [22] [27] [37] [43] [41]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hAnsiTheme="minorHAnsi"/>
                <w:b/>
                <w:color w:val="000000"/>
                <w:sz w:val="20"/>
                <w:szCs w:val="20"/>
              </w:rPr>
              <w:t>CNPI</w:t>
            </w:r>
          </w:p>
        </w:tc>
        <w:tc>
          <w:tcPr>
            <w:tcW w:w="53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Six reviews suggested that the tool appears easy to use. Though one review mentioned that the tool’s </w:t>
            </w:r>
            <w:r w:rsidRPr="00BA524E">
              <w:rPr>
                <w:rFonts w:asciiTheme="minorHAnsi" w:hAnsiTheme="minorHAnsi" w:cs="AdvPSA33E"/>
                <w:sz w:val="20"/>
                <w:szCs w:val="20"/>
              </w:rPr>
              <w:t xml:space="preserve">ease of use has not been formally evaluated. </w:t>
            </w:r>
          </w:p>
        </w:tc>
        <w:tc>
          <w:tcPr>
            <w:tcW w:w="644"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r w:rsidRPr="00BA524E">
              <w:rPr>
                <w:rFonts w:asciiTheme="minorHAnsi" w:hAnsiTheme="minorHAnsi" w:cs="AdvPSA33E"/>
                <w:sz w:val="20"/>
                <w:szCs w:val="20"/>
              </w:rPr>
              <w:t xml:space="preserve">One review stated that the time needed to administer the tool has not been formally evaluated; one that it hasn’t been reported. </w:t>
            </w:r>
          </w:p>
        </w:tc>
        <w:tc>
          <w:tcPr>
            <w:tcW w:w="618"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r w:rsidRPr="00BA524E">
              <w:rPr>
                <w:rFonts w:asciiTheme="minorHAnsi" w:hAnsiTheme="minorHAnsi" w:cs="AdvPSA33E"/>
                <w:sz w:val="20"/>
                <w:szCs w:val="20"/>
              </w:rPr>
              <w:t xml:space="preserve">Three reviews stated that the method of administration is clearly described. </w:t>
            </w:r>
          </w:p>
        </w:tc>
        <w:tc>
          <w:tcPr>
            <w:tcW w:w="801"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One review stated that the scoring instructions are available and clearly explained. </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spacing w:before="0" w:line="240" w:lineRule="auto"/>
              <w:jc w:val="left"/>
              <w:rPr>
                <w:rFonts w:asciiTheme="minorHAnsi" w:hAnsiTheme="minorHAnsi"/>
                <w:b/>
                <w:sz w:val="20"/>
                <w:szCs w:val="20"/>
              </w:rPr>
            </w:pPr>
          </w:p>
        </w:tc>
        <w:tc>
          <w:tcPr>
            <w:tcW w:w="65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eastAsia="Times New Roman" w:hAnsiTheme="minorHAnsi" w:cs="Times New Roman"/>
                <w:color w:val="000000"/>
                <w:sz w:val="20"/>
                <w:szCs w:val="20"/>
                <w:lang w:eastAsia="en-GB"/>
              </w:rPr>
              <w:t xml:space="preserve">One review stated that the level of training and  length of training time required to use scale are not reported. </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E050C2" w:rsidRDefault="00093FD6" w:rsidP="00DE45A1">
            <w:pPr>
              <w:spacing w:before="0" w:line="240" w:lineRule="auto"/>
              <w:jc w:val="center"/>
              <w:rPr>
                <w:rFonts w:asciiTheme="minorHAnsi" w:hAnsiTheme="minorHAnsi"/>
                <w:color w:val="000000"/>
                <w:sz w:val="20"/>
                <w:szCs w:val="20"/>
              </w:rPr>
            </w:pPr>
            <w:r w:rsidRPr="00E050C2">
              <w:rPr>
                <w:rFonts w:asciiTheme="minorHAnsi" w:hAnsiTheme="minorHAnsi"/>
                <w:color w:val="000000"/>
                <w:sz w:val="20"/>
                <w:szCs w:val="20"/>
              </w:rPr>
              <w:t>[43]</w:t>
            </w:r>
            <w:r w:rsidRPr="00E050C2">
              <w:rPr>
                <w:rFonts w:asciiTheme="minorHAnsi" w:hAnsiTheme="minorHAnsi"/>
                <w:color w:val="000000"/>
                <w:sz w:val="20"/>
                <w:szCs w:val="20"/>
              </w:rPr>
              <w:cr/>
            </w:r>
          </w:p>
          <w:p w:rsidR="00093FD6" w:rsidRPr="00F5110A" w:rsidRDefault="00093FD6" w:rsidP="00DE45A1">
            <w:pPr>
              <w:spacing w:before="0" w:line="240" w:lineRule="auto"/>
              <w:jc w:val="center"/>
              <w:rPr>
                <w:rFonts w:asciiTheme="minorHAnsi" w:hAnsiTheme="minorHAnsi"/>
                <w:color w:val="000000"/>
                <w:sz w:val="20"/>
                <w:szCs w:val="20"/>
              </w:rPr>
            </w:pP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Comfort Checklist</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E050C2">
              <w:rPr>
                <w:rFonts w:asciiTheme="minorHAnsi" w:hAnsiTheme="minorHAnsi"/>
                <w:color w:val="000000"/>
                <w:sz w:val="20"/>
                <w:szCs w:val="20"/>
              </w:rPr>
              <w:t>[41]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CPAT</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Tool described as easy to use.</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 xml:space="preserve">Tool described not too time consuming. </w:t>
            </w:r>
            <w:r w:rsidRPr="00BA524E">
              <w:rPr>
                <w:rFonts w:asciiTheme="minorHAnsi" w:eastAsia="Times New Roman" w:hAnsiTheme="minorHAnsi" w:cs="Times New Roman"/>
                <w:color w:val="000000"/>
                <w:sz w:val="20"/>
                <w:szCs w:val="20"/>
                <w:lang w:eastAsia="en-GB"/>
              </w:rPr>
              <w:lastRenderedPageBreak/>
              <w:t>Authors suggest takes about 1 minute to complete.</w:t>
            </w:r>
          </w:p>
        </w:tc>
        <w:tc>
          <w:tcPr>
            <w:tcW w:w="61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lastRenderedPageBreak/>
              <w:t xml:space="preserve">Method of administration </w:t>
            </w:r>
            <w:r w:rsidRPr="00BA524E">
              <w:rPr>
                <w:rFonts w:asciiTheme="minorHAnsi" w:eastAsia="Times New Roman" w:hAnsiTheme="minorHAnsi" w:cs="Times New Roman"/>
                <w:color w:val="000000"/>
                <w:sz w:val="20"/>
                <w:szCs w:val="20"/>
                <w:lang w:eastAsia="en-GB"/>
              </w:rPr>
              <w:lastRenderedPageBreak/>
              <w:t>reported as clear.</w:t>
            </w:r>
          </w:p>
        </w:tc>
        <w:tc>
          <w:tcPr>
            <w:tcW w:w="801"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lastRenderedPageBreak/>
              <w:t xml:space="preserve">Scoring instructions reported as clear. </w:t>
            </w:r>
          </w:p>
        </w:tc>
        <w:tc>
          <w:tcPr>
            <w:tcW w:w="65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 xml:space="preserve">Training consisted of 45 minute training </w:t>
            </w:r>
            <w:r w:rsidRPr="00BA524E">
              <w:rPr>
                <w:rFonts w:asciiTheme="minorHAnsi" w:eastAsia="Times New Roman" w:hAnsiTheme="minorHAnsi" w:cs="Times New Roman"/>
                <w:color w:val="000000"/>
                <w:sz w:val="20"/>
                <w:szCs w:val="20"/>
                <w:lang w:eastAsia="en-GB"/>
              </w:rPr>
              <w:lastRenderedPageBreak/>
              <w:t>session.</w:t>
            </w:r>
          </w:p>
        </w:tc>
        <w:tc>
          <w:tcPr>
            <w:tcW w:w="725" w:type="pct"/>
            <w:shd w:val="clear" w:color="auto" w:fill="auto"/>
          </w:tcPr>
          <w:p w:rsidR="00093FD6" w:rsidRPr="00DF0452"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DF0452">
              <w:rPr>
                <w:rFonts w:asciiTheme="minorHAnsi" w:eastAsia="Times New Roman" w:hAnsiTheme="minorHAnsi" w:cs="Times New Roman"/>
                <w:color w:val="000000"/>
                <w:sz w:val="20"/>
                <w:szCs w:val="20"/>
                <w:lang w:eastAsia="en-GB"/>
              </w:rPr>
              <w:lastRenderedPageBreak/>
              <w:t xml:space="preserve">Evaluation of feasibility of the tool by use of </w:t>
            </w:r>
            <w:r w:rsidRPr="00DF0452">
              <w:rPr>
                <w:rFonts w:asciiTheme="minorHAnsi" w:eastAsia="Times New Roman" w:hAnsiTheme="minorHAnsi" w:cs="Times New Roman"/>
                <w:color w:val="000000"/>
                <w:sz w:val="20"/>
                <w:szCs w:val="20"/>
                <w:lang w:eastAsia="en-GB"/>
              </w:rPr>
              <w:lastRenderedPageBreak/>
              <w:t>Practicality of Instruments Survey</w:t>
            </w:r>
          </w:p>
        </w:tc>
      </w:tr>
      <w:tr w:rsidR="00093FD6" w:rsidRPr="00BA524E" w:rsidTr="00093FD6">
        <w:tc>
          <w:tcPr>
            <w:tcW w:w="508" w:type="pct"/>
          </w:tcPr>
          <w:p w:rsidR="00093FD6" w:rsidRPr="00E050C2" w:rsidRDefault="00093FD6" w:rsidP="00DE45A1">
            <w:pPr>
              <w:spacing w:before="0" w:line="240" w:lineRule="auto"/>
              <w:jc w:val="center"/>
              <w:rPr>
                <w:rFonts w:asciiTheme="minorHAnsi" w:hAnsiTheme="minorHAnsi"/>
                <w:sz w:val="20"/>
                <w:szCs w:val="20"/>
              </w:rPr>
            </w:pPr>
            <w:r w:rsidRPr="00E050C2">
              <w:rPr>
                <w:rFonts w:asciiTheme="minorHAnsi" w:hAnsiTheme="minorHAnsi"/>
                <w:sz w:val="20"/>
                <w:szCs w:val="20"/>
              </w:rPr>
              <w:lastRenderedPageBreak/>
              <w:t>[21] [22] [27] [37] [41]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hAnsiTheme="minorHAnsi"/>
                <w:b/>
                <w:color w:val="000000"/>
                <w:sz w:val="20"/>
                <w:szCs w:val="20"/>
              </w:rPr>
              <w:t>Doloplus-2</w:t>
            </w:r>
          </w:p>
        </w:tc>
        <w:tc>
          <w:tcPr>
            <w:tcW w:w="53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r w:rsidRPr="00BA524E">
              <w:rPr>
                <w:rFonts w:asciiTheme="minorHAnsi" w:eastAsia="Times New Roman" w:hAnsiTheme="minorHAnsi" w:cs="Times New Roman"/>
                <w:sz w:val="20"/>
                <w:szCs w:val="20"/>
                <w:lang w:eastAsia="en-GB"/>
              </w:rPr>
              <w:t xml:space="preserve">One review </w:t>
            </w:r>
            <w:r w:rsidRPr="00BA524E">
              <w:rPr>
                <w:rFonts w:asciiTheme="minorHAnsi" w:eastAsia="Times New Roman" w:hAnsiTheme="minorHAnsi" w:cs="Times New Roman"/>
                <w:color w:val="000000"/>
                <w:sz w:val="20"/>
                <w:szCs w:val="20"/>
                <w:lang w:eastAsia="en-GB"/>
              </w:rPr>
              <w:t xml:space="preserve">suggested that the tool appears easy to use; one review states that the tool has been </w:t>
            </w:r>
            <w:r w:rsidRPr="00BA524E">
              <w:rPr>
                <w:rFonts w:asciiTheme="minorHAnsi" w:eastAsia="Times New Roman" w:hAnsiTheme="minorHAnsi" w:cs="Times New Roman"/>
                <w:sz w:val="20"/>
                <w:szCs w:val="20"/>
                <w:lang w:eastAsia="en-GB"/>
              </w:rPr>
              <w:t xml:space="preserve">reported ‘rather complex for staff within the care home settings’. </w:t>
            </w:r>
          </w:p>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p>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p>
          <w:p w:rsidR="00093FD6" w:rsidRPr="00BA524E" w:rsidRDefault="00093FD6" w:rsidP="00212E72">
            <w:pPr>
              <w:spacing w:before="0" w:line="240" w:lineRule="auto"/>
              <w:jc w:val="left"/>
              <w:rPr>
                <w:rFonts w:asciiTheme="minorHAnsi" w:hAnsiTheme="minorHAnsi"/>
                <w:b/>
                <w:sz w:val="20"/>
                <w:szCs w:val="20"/>
              </w:rPr>
            </w:pPr>
          </w:p>
        </w:tc>
        <w:tc>
          <w:tcPr>
            <w:tcW w:w="644"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r w:rsidRPr="00BA524E">
              <w:rPr>
                <w:rFonts w:asciiTheme="minorHAnsi" w:eastAsia="Times New Roman" w:hAnsiTheme="minorHAnsi" w:cs="Times New Roman"/>
                <w:sz w:val="20"/>
                <w:szCs w:val="20"/>
                <w:lang w:eastAsia="en-GB"/>
              </w:rPr>
              <w:t xml:space="preserve">Time taken to administer the tool was mentioned in 3 reviews: one review stated that completion time was not reported; one review stated that it takes a few minutes to complete; one review that the authors state that the tool only takes a few minutes to complete, but without data reported to support this. </w:t>
            </w:r>
          </w:p>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p>
          <w:p w:rsidR="00093FD6" w:rsidRPr="00BA524E" w:rsidRDefault="00093FD6" w:rsidP="00212E72">
            <w:pPr>
              <w:spacing w:before="0" w:line="240" w:lineRule="auto"/>
              <w:jc w:val="left"/>
              <w:rPr>
                <w:rFonts w:asciiTheme="minorHAnsi" w:hAnsiTheme="minorHAnsi"/>
                <w:b/>
                <w:sz w:val="20"/>
                <w:szCs w:val="20"/>
              </w:rPr>
            </w:pPr>
          </w:p>
        </w:tc>
        <w:tc>
          <w:tcPr>
            <w:tcW w:w="61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r w:rsidRPr="00BA524E">
              <w:rPr>
                <w:rFonts w:asciiTheme="minorHAnsi" w:eastAsia="Times New Roman" w:hAnsiTheme="minorHAnsi" w:cs="Times New Roman"/>
                <w:sz w:val="20"/>
                <w:szCs w:val="20"/>
                <w:lang w:eastAsia="en-GB"/>
              </w:rPr>
              <w:t xml:space="preserve">Two reviews stated that method of administration is clear; two reviews note that lexicon and instructions for use are available. </w:t>
            </w:r>
          </w:p>
          <w:p w:rsidR="00093FD6" w:rsidRPr="00BA524E" w:rsidRDefault="00093FD6" w:rsidP="00212E72">
            <w:pPr>
              <w:spacing w:before="0" w:line="240" w:lineRule="auto"/>
              <w:jc w:val="left"/>
              <w:rPr>
                <w:rFonts w:asciiTheme="minorHAnsi" w:eastAsia="Times New Roman" w:hAnsiTheme="minorHAnsi" w:cstheme="minorHAnsi"/>
                <w:sz w:val="20"/>
                <w:szCs w:val="20"/>
                <w:lang w:eastAsia="en-GB"/>
              </w:rPr>
            </w:pPr>
            <w:r w:rsidRPr="00BA524E">
              <w:rPr>
                <w:rFonts w:asciiTheme="minorHAnsi" w:eastAsia="Times New Roman" w:hAnsiTheme="minorHAnsi" w:cs="Times New Roman"/>
                <w:sz w:val="20"/>
                <w:szCs w:val="20"/>
                <w:lang w:eastAsia="en-GB"/>
              </w:rPr>
              <w:t>One of these reviews reported that a</w:t>
            </w:r>
            <w:r w:rsidRPr="00BA524E">
              <w:rPr>
                <w:rFonts w:asciiTheme="minorHAnsi" w:hAnsiTheme="minorHAnsi" w:cs="AdvTTaa6ae907"/>
                <w:sz w:val="20"/>
                <w:szCs w:val="20"/>
              </w:rPr>
              <w:t xml:space="preserve"> comprehensive supporting Web site is available, both in French and in English, but that t</w:t>
            </w:r>
            <w:r w:rsidRPr="00BA524E">
              <w:rPr>
                <w:rFonts w:asciiTheme="minorHAnsi" w:eastAsia="Times New Roman" w:hAnsiTheme="minorHAnsi" w:cstheme="minorHAnsi"/>
                <w:sz w:val="20"/>
                <w:szCs w:val="20"/>
                <w:lang w:eastAsia="en-GB"/>
              </w:rPr>
              <w:t xml:space="preserve">ranslation issues are evident for use of </w:t>
            </w:r>
            <w:proofErr w:type="spellStart"/>
            <w:r w:rsidRPr="00BA524E">
              <w:rPr>
                <w:rFonts w:asciiTheme="minorHAnsi" w:eastAsia="Times New Roman" w:hAnsiTheme="minorHAnsi" w:cstheme="minorHAnsi"/>
                <w:sz w:val="20"/>
                <w:szCs w:val="20"/>
                <w:lang w:eastAsia="en-GB"/>
              </w:rPr>
              <w:t>Doloplus</w:t>
            </w:r>
            <w:proofErr w:type="spellEnd"/>
            <w:r w:rsidRPr="00BA524E">
              <w:rPr>
                <w:rFonts w:asciiTheme="minorHAnsi" w:eastAsia="Times New Roman" w:hAnsiTheme="minorHAnsi" w:cstheme="minorHAnsi"/>
                <w:sz w:val="20"/>
                <w:szCs w:val="20"/>
                <w:lang w:eastAsia="en-GB"/>
              </w:rPr>
              <w:t xml:space="preserve"> 2 in English. </w:t>
            </w:r>
          </w:p>
          <w:p w:rsidR="00093FD6" w:rsidRPr="00BA524E" w:rsidRDefault="00093FD6" w:rsidP="00212E72">
            <w:pPr>
              <w:spacing w:before="0" w:line="240" w:lineRule="auto"/>
              <w:jc w:val="left"/>
              <w:rPr>
                <w:rFonts w:asciiTheme="minorHAnsi" w:eastAsia="Times New Roman" w:hAnsiTheme="minorHAnsi" w:cstheme="minorHAnsi"/>
                <w:sz w:val="20"/>
                <w:szCs w:val="20"/>
                <w:lang w:eastAsia="en-GB"/>
              </w:rPr>
            </w:pPr>
          </w:p>
          <w:p w:rsidR="00093FD6" w:rsidRPr="00BA524E" w:rsidRDefault="00093FD6" w:rsidP="00212E72">
            <w:pPr>
              <w:spacing w:before="0" w:line="240" w:lineRule="auto"/>
              <w:jc w:val="left"/>
              <w:rPr>
                <w:rFonts w:asciiTheme="minorHAnsi" w:hAnsiTheme="minorHAnsi"/>
                <w:b/>
                <w:sz w:val="20"/>
                <w:szCs w:val="20"/>
              </w:rPr>
            </w:pPr>
          </w:p>
        </w:tc>
        <w:tc>
          <w:tcPr>
            <w:tcW w:w="801"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eastAsia="Times New Roman" w:hAnsiTheme="minorHAnsi" w:cs="Times New Roman"/>
                <w:sz w:val="20"/>
                <w:szCs w:val="20"/>
                <w:lang w:eastAsia="en-GB"/>
              </w:rPr>
              <w:t>Two reviews stated that scoring procedures/instructions  are clear. However one review expressed concerns that certain items seem difficult to understand or interpret.</w:t>
            </w: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r w:rsidRPr="00BA524E">
              <w:rPr>
                <w:rFonts w:asciiTheme="minorHAnsi" w:eastAsia="Times New Roman" w:hAnsiTheme="minorHAnsi" w:cs="Times New Roman"/>
                <w:sz w:val="20"/>
                <w:szCs w:val="20"/>
                <w:lang w:eastAsia="en-GB"/>
              </w:rPr>
              <w:t>Two reviews noted that training requirements (e.g. l</w:t>
            </w:r>
            <w:r w:rsidRPr="00BA524E">
              <w:rPr>
                <w:rFonts w:asciiTheme="minorHAnsi" w:hAnsiTheme="minorHAnsi"/>
                <w:sz w:val="20"/>
                <w:szCs w:val="20"/>
              </w:rPr>
              <w:t xml:space="preserve">evel and length of training) </w:t>
            </w:r>
            <w:r w:rsidRPr="00BA524E">
              <w:rPr>
                <w:rFonts w:asciiTheme="minorHAnsi" w:eastAsia="Times New Roman" w:hAnsiTheme="minorHAnsi" w:cs="Times New Roman"/>
                <w:sz w:val="20"/>
                <w:szCs w:val="20"/>
                <w:lang w:eastAsia="en-GB"/>
              </w:rPr>
              <w:t xml:space="preserve">are not reported. One of the reviews makes specific reference to the prospected user groups (health and social care providers as well as family of the older adult). </w:t>
            </w:r>
          </w:p>
        </w:tc>
        <w:tc>
          <w:tcPr>
            <w:tcW w:w="725" w:type="pct"/>
            <w:shd w:val="clear" w:color="auto" w:fill="auto"/>
          </w:tcPr>
          <w:p w:rsidR="00093FD6" w:rsidRPr="00BA524E" w:rsidRDefault="00093FD6" w:rsidP="007936D1">
            <w:pPr>
              <w:spacing w:before="0" w:line="240" w:lineRule="auto"/>
              <w:jc w:val="left"/>
              <w:rPr>
                <w:rFonts w:asciiTheme="minorHAnsi" w:eastAsia="Times New Roman" w:hAnsiTheme="minorHAnsi" w:cs="Times New Roman"/>
                <w:sz w:val="20"/>
                <w:szCs w:val="20"/>
                <w:lang w:eastAsia="en-GB"/>
              </w:rPr>
            </w:pPr>
            <w:r w:rsidRPr="00BA524E">
              <w:rPr>
                <w:rFonts w:asciiTheme="minorHAnsi" w:hAnsiTheme="minorHAnsi"/>
                <w:sz w:val="20"/>
                <w:szCs w:val="20"/>
              </w:rPr>
              <w:t xml:space="preserve">One review claimed that: “Validation provides evidence that repetition of assessments is </w:t>
            </w:r>
            <w:r w:rsidRPr="00BA524E">
              <w:rPr>
                <w:rFonts w:asciiTheme="minorHAnsi" w:hAnsiTheme="minorHAnsi"/>
                <w:i/>
                <w:sz w:val="20"/>
                <w:szCs w:val="20"/>
              </w:rPr>
              <w:t>feasible</w:t>
            </w:r>
            <w:r w:rsidRPr="00BA524E">
              <w:rPr>
                <w:rFonts w:asciiTheme="minorHAnsi" w:hAnsiTheme="minorHAnsi"/>
                <w:sz w:val="20"/>
                <w:szCs w:val="20"/>
              </w:rPr>
              <w:t xml:space="preserve"> on one rating scale” </w:t>
            </w:r>
            <w:r>
              <w:rPr>
                <w:rFonts w:asciiTheme="minorHAnsi" w:hAnsiTheme="minorHAnsi"/>
                <w:sz w:val="20"/>
                <w:szCs w:val="20"/>
              </w:rPr>
              <w:t>[22]</w:t>
            </w:r>
          </w:p>
        </w:tc>
      </w:tr>
      <w:tr w:rsidR="00093FD6" w:rsidRPr="00BA524E" w:rsidTr="00093FD6">
        <w:tc>
          <w:tcPr>
            <w:tcW w:w="508" w:type="pct"/>
          </w:tcPr>
          <w:p w:rsidR="00093FD6" w:rsidRPr="00F5110A" w:rsidRDefault="00093FD6" w:rsidP="00C54B8B">
            <w:pPr>
              <w:spacing w:before="0" w:line="240" w:lineRule="auto"/>
              <w:jc w:val="center"/>
              <w:rPr>
                <w:rFonts w:asciiTheme="minorHAnsi" w:hAnsiTheme="minorHAnsi"/>
                <w:color w:val="000000"/>
                <w:sz w:val="20"/>
                <w:szCs w:val="20"/>
              </w:rPr>
            </w:pPr>
            <w:r w:rsidRPr="00E050C2">
              <w:rPr>
                <w:rFonts w:asciiTheme="minorHAnsi" w:hAnsiTheme="minorHAnsi"/>
                <w:color w:val="000000"/>
                <w:sz w:val="20"/>
                <w:szCs w:val="20"/>
              </w:rPr>
              <w:t>[22] [27] [37] [43]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sz w:val="20"/>
                <w:szCs w:val="20"/>
              </w:rPr>
            </w:pPr>
            <w:r w:rsidRPr="00BA524E">
              <w:rPr>
                <w:rFonts w:asciiTheme="minorHAnsi" w:hAnsiTheme="minorHAnsi"/>
                <w:b/>
                <w:color w:val="000000"/>
                <w:sz w:val="20"/>
                <w:szCs w:val="20"/>
              </w:rPr>
              <w:t>DS-DAT</w:t>
            </w:r>
          </w:p>
        </w:tc>
        <w:tc>
          <w:tcPr>
            <w:tcW w:w="53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8064A2" w:themeColor="accent4"/>
                <w:sz w:val="20"/>
                <w:szCs w:val="20"/>
                <w:lang w:eastAsia="en-GB"/>
              </w:rPr>
            </w:pPr>
            <w:r w:rsidRPr="00BA524E">
              <w:rPr>
                <w:rFonts w:asciiTheme="minorHAnsi" w:eastAsia="Times New Roman" w:hAnsiTheme="minorHAnsi" w:cs="Times New Roman"/>
                <w:color w:val="000000"/>
                <w:sz w:val="20"/>
                <w:szCs w:val="20"/>
                <w:lang w:eastAsia="en-GB"/>
              </w:rPr>
              <w:t xml:space="preserve">One review expressed concerns over the complexity of the scoring schema, especially scoring of intensity and duration. </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spacing w:before="0" w:line="240" w:lineRule="auto"/>
              <w:jc w:val="left"/>
              <w:rPr>
                <w:rFonts w:asciiTheme="minorHAnsi" w:hAnsiTheme="minorHAnsi"/>
                <w:b/>
                <w:sz w:val="20"/>
                <w:szCs w:val="20"/>
              </w:rPr>
            </w:pPr>
          </w:p>
        </w:tc>
        <w:tc>
          <w:tcPr>
            <w:tcW w:w="644"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r w:rsidRPr="00BA524E">
              <w:rPr>
                <w:rFonts w:asciiTheme="minorHAnsi" w:hAnsiTheme="minorHAnsi" w:cs="AdvPSA33E"/>
                <w:sz w:val="20"/>
                <w:szCs w:val="20"/>
              </w:rPr>
              <w:lastRenderedPageBreak/>
              <w:t>One review reported this to be a time-consuming scoring system</w:t>
            </w:r>
            <w:r w:rsidRPr="00BA524E">
              <w:rPr>
                <w:rFonts w:asciiTheme="minorHAnsi" w:hAnsiTheme="minorHAnsi"/>
                <w:sz w:val="20"/>
                <w:szCs w:val="20"/>
              </w:rPr>
              <w:t xml:space="preserve">. One review explained that the administration procedure </w:t>
            </w:r>
            <w:r w:rsidRPr="00BA524E">
              <w:rPr>
                <w:rFonts w:asciiTheme="minorHAnsi" w:hAnsiTheme="minorHAnsi" w:cs="AdvPSA33E"/>
                <w:sz w:val="20"/>
                <w:szCs w:val="20"/>
              </w:rPr>
              <w:t xml:space="preserve">requires waiting 15 minutes after a possible discomfort event, then observation of </w:t>
            </w:r>
            <w:r w:rsidRPr="00BA524E">
              <w:rPr>
                <w:rFonts w:asciiTheme="minorHAnsi" w:hAnsiTheme="minorHAnsi" w:cs="AdvPSA33E"/>
                <w:sz w:val="20"/>
                <w:szCs w:val="20"/>
              </w:rPr>
              <w:lastRenderedPageBreak/>
              <w:t xml:space="preserve">the individual at rest (min. 5 minutes); it concluded that the actual time needed to administer the tool may be considerably longer due to the complexity of the scoring. </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lastRenderedPageBreak/>
              <w:t>-</w:t>
            </w:r>
          </w:p>
        </w:tc>
        <w:tc>
          <w:tcPr>
            <w:tcW w:w="801"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r w:rsidRPr="00BA524E">
              <w:rPr>
                <w:rFonts w:asciiTheme="minorHAnsi" w:hAnsiTheme="minorHAnsi" w:cs="Times-Roman"/>
                <w:sz w:val="20"/>
                <w:szCs w:val="20"/>
              </w:rPr>
              <w:t xml:space="preserve">Two reviews reported that the </w:t>
            </w:r>
            <w:r w:rsidRPr="00BA524E">
              <w:rPr>
                <w:rFonts w:asciiTheme="minorHAnsi" w:hAnsiTheme="minorHAnsi" w:cs="AdvTTaa6ae907"/>
                <w:sz w:val="20"/>
                <w:szCs w:val="20"/>
              </w:rPr>
              <w:t xml:space="preserve">scoring instruction are </w:t>
            </w:r>
            <w:r w:rsidRPr="00BA524E">
              <w:rPr>
                <w:rFonts w:asciiTheme="minorHAnsi" w:hAnsiTheme="minorHAnsi" w:cs="Times-Roman"/>
                <w:sz w:val="20"/>
                <w:szCs w:val="20"/>
              </w:rPr>
              <w:t>comprehensive.</w:t>
            </w: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shd w:val="clear" w:color="auto" w:fill="FFFFFF" w:themeFill="background1"/>
                <w:lang w:eastAsia="en-GB"/>
              </w:rPr>
            </w:pPr>
            <w:r w:rsidRPr="00BA524E">
              <w:rPr>
                <w:rFonts w:asciiTheme="minorHAnsi" w:eastAsia="Times New Roman" w:hAnsiTheme="minorHAnsi" w:cs="Times New Roman"/>
                <w:color w:val="000000"/>
                <w:sz w:val="20"/>
                <w:szCs w:val="20"/>
                <w:shd w:val="clear" w:color="auto" w:fill="FFFFFF" w:themeFill="background1"/>
                <w:lang w:eastAsia="en-GB"/>
              </w:rPr>
              <w:t xml:space="preserve">Three reviews reported that the training required is extensive – i.e. to be administered by </w:t>
            </w:r>
            <w:r w:rsidRPr="00BA524E">
              <w:rPr>
                <w:rFonts w:asciiTheme="minorHAnsi" w:hAnsiTheme="minorHAnsi" w:cs="Times-Roman"/>
                <w:sz w:val="20"/>
                <w:szCs w:val="20"/>
              </w:rPr>
              <w:t xml:space="preserve">well-trained </w:t>
            </w:r>
            <w:proofErr w:type="spellStart"/>
            <w:r w:rsidRPr="00BA524E">
              <w:rPr>
                <w:rFonts w:asciiTheme="minorHAnsi" w:hAnsiTheme="minorHAnsi" w:cs="Times-Roman"/>
                <w:sz w:val="20"/>
                <w:szCs w:val="20"/>
              </w:rPr>
              <w:t>raters</w:t>
            </w:r>
            <w:proofErr w:type="spellEnd"/>
            <w:r w:rsidRPr="00BA524E">
              <w:rPr>
                <w:rFonts w:asciiTheme="minorHAnsi" w:hAnsiTheme="minorHAnsi" w:cs="Times-Roman"/>
                <w:sz w:val="20"/>
                <w:szCs w:val="20"/>
              </w:rPr>
              <w:t xml:space="preserve">. </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shd w:val="clear" w:color="auto" w:fill="FFFFFF" w:themeFill="background1"/>
                <w:lang w:eastAsia="en-GB"/>
              </w:rPr>
            </w:pPr>
          </w:p>
          <w:p w:rsidR="00093FD6" w:rsidRPr="00BA524E" w:rsidRDefault="00093FD6" w:rsidP="00212E72">
            <w:pPr>
              <w:spacing w:before="0" w:line="240" w:lineRule="auto"/>
              <w:jc w:val="left"/>
              <w:rPr>
                <w:rFonts w:asciiTheme="minorHAnsi" w:hAnsiTheme="minorHAnsi" w:cs="AdvTTaa6ae907"/>
                <w:sz w:val="20"/>
                <w:szCs w:val="20"/>
              </w:rPr>
            </w:pPr>
          </w:p>
          <w:p w:rsidR="00093FD6" w:rsidRPr="00BA524E" w:rsidRDefault="00093FD6" w:rsidP="00212E72">
            <w:pPr>
              <w:autoSpaceDE w:val="0"/>
              <w:autoSpaceDN w:val="0"/>
              <w:adjustRightInd w:val="0"/>
              <w:spacing w:before="0" w:line="240" w:lineRule="auto"/>
              <w:jc w:val="left"/>
              <w:rPr>
                <w:rFonts w:asciiTheme="minorHAnsi" w:hAnsiTheme="minorHAnsi"/>
                <w:b/>
                <w:sz w:val="20"/>
                <w:szCs w:val="20"/>
              </w:rPr>
            </w:pPr>
          </w:p>
        </w:tc>
        <w:tc>
          <w:tcPr>
            <w:tcW w:w="725" w:type="pct"/>
            <w:shd w:val="clear" w:color="auto" w:fill="auto"/>
          </w:tcPr>
          <w:p w:rsidR="00093FD6" w:rsidRPr="00BA524E" w:rsidRDefault="00093FD6" w:rsidP="00212E72">
            <w:pPr>
              <w:spacing w:before="0" w:line="240" w:lineRule="auto"/>
              <w:jc w:val="left"/>
              <w:rPr>
                <w:rFonts w:asciiTheme="minorHAnsi" w:hAnsiTheme="minorHAnsi" w:cs="GraphicraftPalatino-Roman"/>
                <w:sz w:val="20"/>
                <w:szCs w:val="20"/>
              </w:rPr>
            </w:pPr>
            <w:r w:rsidRPr="00BA524E">
              <w:rPr>
                <w:rFonts w:asciiTheme="minorHAnsi" w:eastAsia="Times New Roman" w:hAnsiTheme="minorHAnsi" w:cs="Times New Roman"/>
                <w:color w:val="000000"/>
                <w:sz w:val="20"/>
                <w:szCs w:val="20"/>
                <w:shd w:val="clear" w:color="auto" w:fill="FFFFFF" w:themeFill="background1"/>
                <w:lang w:eastAsia="en-GB"/>
              </w:rPr>
              <w:t>Two reviews concluded that the tool’s feasibility is hindered by its complexity. One review noted how despite practical concerns over complexity and time to administer, DS-DAT “</w:t>
            </w:r>
            <w:r w:rsidRPr="00BA524E">
              <w:rPr>
                <w:rFonts w:asciiTheme="minorHAnsi" w:hAnsiTheme="minorHAnsi" w:cs="GraphicraftPalatino-Roman"/>
                <w:sz w:val="20"/>
                <w:szCs w:val="20"/>
              </w:rPr>
              <w:t xml:space="preserve">remains the gold standard by which nearly all additional </w:t>
            </w:r>
            <w:r w:rsidRPr="00BA524E">
              <w:rPr>
                <w:rFonts w:asciiTheme="minorHAnsi" w:hAnsiTheme="minorHAnsi" w:cs="GraphicraftPalatino-Roman"/>
                <w:sz w:val="20"/>
                <w:szCs w:val="20"/>
              </w:rPr>
              <w:lastRenderedPageBreak/>
              <w:t xml:space="preserve">observational pain assessment tools are evaluated by their developers” </w:t>
            </w:r>
            <w:r>
              <w:rPr>
                <w:rFonts w:asciiTheme="minorHAnsi" w:hAnsiTheme="minorHAnsi" w:cs="GraphicraftPalatino-Roman"/>
                <w:sz w:val="20"/>
                <w:szCs w:val="20"/>
              </w:rPr>
              <w:t xml:space="preserve">[43]. </w:t>
            </w:r>
          </w:p>
          <w:p w:rsidR="00093FD6" w:rsidRPr="00BA524E" w:rsidRDefault="00093FD6" w:rsidP="00212E72">
            <w:pPr>
              <w:spacing w:before="0" w:line="240" w:lineRule="auto"/>
              <w:jc w:val="left"/>
              <w:rPr>
                <w:rFonts w:asciiTheme="minorHAnsi" w:eastAsia="Times New Roman" w:hAnsiTheme="minorHAnsi" w:cs="Times New Roman"/>
                <w:color w:val="F79646" w:themeColor="accent6"/>
                <w:sz w:val="20"/>
                <w:szCs w:val="20"/>
                <w:lang w:eastAsia="en-GB"/>
              </w:rPr>
            </w:pP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Pr>
                <w:rFonts w:asciiTheme="minorHAnsi" w:hAnsiTheme="minorHAnsi" w:cs="Times New Roman"/>
                <w:color w:val="000000"/>
                <w:sz w:val="20"/>
                <w:szCs w:val="20"/>
              </w:rPr>
              <w:lastRenderedPageBreak/>
              <w:t>[21]</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cs="Times New Roman"/>
                <w:b/>
                <w:color w:val="000000"/>
                <w:sz w:val="20"/>
                <w:szCs w:val="20"/>
              </w:rPr>
              <w:t>ECPA</w:t>
            </w:r>
          </w:p>
          <w:p w:rsidR="00093FD6" w:rsidRPr="00BA524E" w:rsidRDefault="00093FD6" w:rsidP="00212E72">
            <w:pPr>
              <w:spacing w:before="0" w:line="240" w:lineRule="auto"/>
              <w:jc w:val="left"/>
              <w:rPr>
                <w:rFonts w:asciiTheme="minorHAnsi" w:hAnsiTheme="minorHAnsi"/>
                <w:b/>
                <w:color w:val="000000"/>
                <w:sz w:val="20"/>
                <w:szCs w:val="20"/>
              </w:rPr>
            </w:pPr>
          </w:p>
        </w:tc>
        <w:tc>
          <w:tcPr>
            <w:tcW w:w="53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sz w:val="20"/>
                <w:szCs w:val="20"/>
                <w:lang w:eastAsia="en-GB"/>
              </w:rPr>
            </w:pPr>
            <w:r w:rsidRPr="00BA524E">
              <w:rPr>
                <w:rFonts w:asciiTheme="minorHAnsi" w:eastAsia="Times New Roman" w:hAnsiTheme="minorHAnsi" w:cs="Times New Roman"/>
                <w:color w:val="000000"/>
                <w:sz w:val="20"/>
                <w:szCs w:val="20"/>
                <w:lang w:eastAsia="en-GB"/>
              </w:rPr>
              <w:t>Tool described as ‘m</w:t>
            </w:r>
            <w:r w:rsidRPr="00BA524E">
              <w:rPr>
                <w:rFonts w:asciiTheme="minorHAnsi" w:hAnsiTheme="minorHAnsi" w:cs="Times New Roman"/>
                <w:sz w:val="20"/>
                <w:szCs w:val="20"/>
              </w:rPr>
              <w:t>anageable’</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Pr>
                <w:rFonts w:asciiTheme="minorHAnsi" w:hAnsiTheme="minorHAnsi" w:cs="Times New Roman"/>
                <w:color w:val="000000"/>
                <w:sz w:val="20"/>
                <w:szCs w:val="20"/>
              </w:rPr>
              <w:t>[21]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ECS</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Lexicon and users' instructions reported available</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s="Times New Roman"/>
                <w:sz w:val="20"/>
                <w:szCs w:val="20"/>
              </w:rPr>
            </w:pPr>
            <w:r>
              <w:rPr>
                <w:rFonts w:asciiTheme="minorHAnsi" w:hAnsiTheme="minorHAnsi" w:cs="Times New Roman"/>
                <w:color w:val="000000"/>
                <w:sz w:val="20"/>
                <w:szCs w:val="20"/>
              </w:rPr>
              <w:t>[22]</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sz w:val="20"/>
                <w:szCs w:val="20"/>
              </w:rPr>
            </w:pPr>
            <w:r w:rsidRPr="00BA524E">
              <w:rPr>
                <w:rFonts w:asciiTheme="minorHAnsi" w:hAnsiTheme="minorHAnsi" w:cs="Times New Roman"/>
                <w:b/>
                <w:sz w:val="20"/>
                <w:szCs w:val="20"/>
              </w:rPr>
              <w:t>EPCA-2</w:t>
            </w:r>
          </w:p>
          <w:p w:rsidR="00093FD6" w:rsidRPr="00BA524E" w:rsidRDefault="00093FD6" w:rsidP="00212E72">
            <w:pPr>
              <w:spacing w:before="0" w:line="240" w:lineRule="auto"/>
              <w:jc w:val="left"/>
              <w:rPr>
                <w:rFonts w:asciiTheme="minorHAnsi" w:hAnsiTheme="minorHAnsi" w:cs="Times New Roman"/>
                <w:b/>
                <w:sz w:val="20"/>
                <w:szCs w:val="20"/>
                <w:highlight w:val="yellow"/>
              </w:rPr>
            </w:pPr>
          </w:p>
          <w:p w:rsidR="00093FD6" w:rsidRPr="00BA524E" w:rsidRDefault="00093FD6" w:rsidP="00212E72">
            <w:pPr>
              <w:spacing w:before="0" w:line="240" w:lineRule="auto"/>
              <w:jc w:val="left"/>
              <w:rPr>
                <w:rFonts w:asciiTheme="minorHAnsi" w:hAnsiTheme="minorHAnsi" w:cs="Times New Roman"/>
                <w:b/>
                <w:sz w:val="20"/>
                <w:szCs w:val="20"/>
              </w:rPr>
            </w:pP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sz w:val="20"/>
                <w:szCs w:val="20"/>
                <w:lang w:eastAsia="en-GB"/>
              </w:rPr>
              <w:t>Tool described as r</w:t>
            </w:r>
            <w:r w:rsidRPr="00BA524E">
              <w:rPr>
                <w:rFonts w:asciiTheme="minorHAnsi" w:hAnsiTheme="minorHAnsi"/>
                <w:sz w:val="20"/>
                <w:szCs w:val="20"/>
              </w:rPr>
              <w:t>equiring time for staff training and effective administration.</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olor w:val="000000"/>
                <w:sz w:val="20"/>
                <w:szCs w:val="20"/>
              </w:rPr>
              <w:t>[44]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FACS</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 xml:space="preserve">The review reported </w:t>
            </w:r>
            <w:r w:rsidRPr="00BA524E">
              <w:rPr>
                <w:rFonts w:asciiTheme="minorHAnsi" w:hAnsiTheme="minorHAnsi"/>
                <w:sz w:val="20"/>
                <w:szCs w:val="20"/>
                <w:lang w:eastAsia="en-GB"/>
              </w:rPr>
              <w:t xml:space="preserve">extensive information available on a Web site </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eastAsia="Times New Roman" w:hAnsiTheme="minorHAnsi" w:cs="Times New Roman"/>
                <w:color w:val="000000"/>
                <w:sz w:val="20"/>
                <w:szCs w:val="20"/>
                <w:lang w:eastAsia="en-GB"/>
              </w:rPr>
              <w:t xml:space="preserve">The review suggested that the tool is </w:t>
            </w:r>
            <w:r w:rsidRPr="00BA524E">
              <w:rPr>
                <w:rFonts w:asciiTheme="minorHAnsi" w:eastAsia="Times New Roman" w:hAnsiTheme="minorHAnsi" w:cs="Times New Roman"/>
                <w:i/>
                <w:color w:val="000000"/>
                <w:sz w:val="20"/>
                <w:szCs w:val="20"/>
                <w:lang w:eastAsia="en-GB"/>
              </w:rPr>
              <w:t>unsuitable for clinical practice</w:t>
            </w:r>
            <w:r w:rsidRPr="00BA524E">
              <w:rPr>
                <w:rFonts w:asciiTheme="minorHAnsi" w:eastAsia="Times New Roman" w:hAnsiTheme="minorHAnsi" w:cs="Times New Roman"/>
                <w:color w:val="000000"/>
                <w:sz w:val="20"/>
                <w:szCs w:val="20"/>
                <w:lang w:eastAsia="en-GB"/>
              </w:rPr>
              <w:t xml:space="preserve"> because of the complexity of learning the </w:t>
            </w:r>
            <w:r w:rsidRPr="00BA524E">
              <w:rPr>
                <w:rFonts w:asciiTheme="minorHAnsi" w:eastAsia="Times New Roman" w:hAnsiTheme="minorHAnsi" w:cs="Times New Roman"/>
                <w:sz w:val="20"/>
                <w:szCs w:val="20"/>
                <w:lang w:eastAsia="en-GB"/>
              </w:rPr>
              <w:t>system and the use of video recordings</w:t>
            </w:r>
            <w:r w:rsidRPr="00BA524E">
              <w:rPr>
                <w:rFonts w:asciiTheme="minorHAnsi" w:eastAsia="Times New Roman" w:hAnsiTheme="minorHAnsi" w:cs="Times New Roman"/>
                <w:color w:val="FF0000"/>
                <w:sz w:val="20"/>
                <w:szCs w:val="20"/>
                <w:lang w:eastAsia="en-GB"/>
              </w:rPr>
              <w:t xml:space="preserve"> </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olor w:val="000000"/>
                <w:sz w:val="20"/>
                <w:szCs w:val="20"/>
              </w:rPr>
              <w:t>[37]</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FLACC</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olor w:val="000000"/>
                <w:sz w:val="20"/>
                <w:szCs w:val="20"/>
              </w:rPr>
              <w:t>[41]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Mahon</w:t>
            </w:r>
            <w:r>
              <w:rPr>
                <w:rFonts w:asciiTheme="minorHAnsi" w:hAnsiTheme="minorHAnsi"/>
                <w:b/>
                <w:color w:val="000000"/>
                <w:sz w:val="20"/>
                <w:szCs w:val="20"/>
              </w:rPr>
              <w:t>e</w:t>
            </w:r>
            <w:r w:rsidRPr="00BA524E">
              <w:rPr>
                <w:rFonts w:asciiTheme="minorHAnsi" w:hAnsiTheme="minorHAnsi"/>
                <w:b/>
                <w:color w:val="000000"/>
                <w:sz w:val="20"/>
                <w:szCs w:val="20"/>
              </w:rPr>
              <w:t>y Pain Scale</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Nurses reported finding it easy to use.</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Time to administer the tool not reported.</w:t>
            </w:r>
          </w:p>
        </w:tc>
        <w:tc>
          <w:tcPr>
            <w:tcW w:w="61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Methods of administration  reported as clear.</w:t>
            </w:r>
          </w:p>
          <w:p w:rsidR="00093FD6" w:rsidRPr="00BA524E" w:rsidRDefault="00093FD6" w:rsidP="00212E72">
            <w:pPr>
              <w:spacing w:before="0" w:line="240" w:lineRule="auto"/>
              <w:ind w:firstLine="720"/>
              <w:jc w:val="left"/>
              <w:rPr>
                <w:rFonts w:asciiTheme="minorHAnsi" w:eastAsia="Times New Roman" w:hAnsiTheme="minorHAnsi" w:cs="Times New Roman"/>
                <w:color w:val="000000"/>
                <w:sz w:val="20"/>
                <w:szCs w:val="20"/>
                <w:lang w:eastAsia="en-GB"/>
              </w:rPr>
            </w:pPr>
          </w:p>
        </w:tc>
        <w:tc>
          <w:tcPr>
            <w:tcW w:w="801"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Scoring instructions and interpretation of tool score reported as clear.</w:t>
            </w:r>
          </w:p>
          <w:p w:rsidR="00093FD6" w:rsidRPr="00BA524E" w:rsidRDefault="00093FD6" w:rsidP="00212E72">
            <w:pPr>
              <w:spacing w:before="0" w:line="240" w:lineRule="auto"/>
              <w:jc w:val="left"/>
              <w:rPr>
                <w:rFonts w:asciiTheme="minorHAnsi" w:hAnsiTheme="minorHAnsi"/>
                <w:sz w:val="20"/>
                <w:szCs w:val="20"/>
              </w:rPr>
            </w:pP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The review reported that nurses had a 2h training session prior to use, but that it is unclear whether this would be required for routine use.</w:t>
            </w:r>
          </w:p>
        </w:tc>
        <w:tc>
          <w:tcPr>
            <w:tcW w:w="725" w:type="pct"/>
            <w:shd w:val="clear" w:color="auto" w:fill="auto"/>
          </w:tcPr>
          <w:p w:rsidR="00093FD6" w:rsidRPr="00DF0452"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DF0452">
              <w:rPr>
                <w:rFonts w:asciiTheme="minorHAnsi" w:hAnsiTheme="minorHAnsi"/>
                <w:sz w:val="20"/>
                <w:szCs w:val="20"/>
              </w:rPr>
              <w:t xml:space="preserve">Evaluation of </w:t>
            </w:r>
            <w:r w:rsidRPr="00DF0452">
              <w:rPr>
                <w:rFonts w:asciiTheme="minorHAnsi" w:hAnsiTheme="minorHAnsi"/>
                <w:i/>
                <w:sz w:val="20"/>
                <w:szCs w:val="20"/>
              </w:rPr>
              <w:t>clinical feasibility</w:t>
            </w:r>
            <w:r w:rsidRPr="00DF0452">
              <w:rPr>
                <w:rFonts w:asciiTheme="minorHAnsi" w:hAnsiTheme="minorHAnsi"/>
                <w:sz w:val="20"/>
                <w:szCs w:val="20"/>
              </w:rPr>
              <w:t xml:space="preserve"> by use of the Pain Scale Usage Questionnaire</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s="Times New Roman"/>
                <w:color w:val="000000"/>
                <w:sz w:val="20"/>
                <w:szCs w:val="20"/>
              </w:rPr>
            </w:pPr>
            <w:r w:rsidRPr="005817E0">
              <w:rPr>
                <w:rFonts w:asciiTheme="minorHAnsi" w:hAnsiTheme="minorHAnsi" w:cs="Times New Roman"/>
                <w:color w:val="000000"/>
                <w:sz w:val="20"/>
                <w:szCs w:val="20"/>
              </w:rPr>
              <w:t>[22] [41] [42]</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cs="Times New Roman"/>
                <w:b/>
                <w:color w:val="000000"/>
                <w:sz w:val="20"/>
                <w:szCs w:val="20"/>
              </w:rPr>
              <w:t>MOBID</w:t>
            </w:r>
          </w:p>
        </w:tc>
        <w:tc>
          <w:tcPr>
            <w:tcW w:w="538"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One review </w:t>
            </w:r>
            <w:r w:rsidRPr="00BA524E">
              <w:rPr>
                <w:rFonts w:asciiTheme="minorHAnsi" w:hAnsiTheme="minorHAnsi" w:cs="Times New Roman"/>
                <w:sz w:val="20"/>
                <w:szCs w:val="20"/>
              </w:rPr>
              <w:lastRenderedPageBreak/>
              <w:t xml:space="preserve">reported  weaknesses with regard to the usability in clinical practice. </w:t>
            </w:r>
          </w:p>
        </w:tc>
        <w:tc>
          <w:tcPr>
            <w:tcW w:w="644" w:type="pct"/>
            <w:shd w:val="clear" w:color="auto" w:fill="auto"/>
          </w:tcPr>
          <w:p w:rsidR="00093FD6" w:rsidRPr="00BA524E" w:rsidRDefault="00093FD6" w:rsidP="00212E72">
            <w:pPr>
              <w:tabs>
                <w:tab w:val="left" w:pos="1386"/>
              </w:tabs>
              <w:spacing w:before="0" w:line="240" w:lineRule="auto"/>
              <w:jc w:val="left"/>
              <w:rPr>
                <w:rFonts w:asciiTheme="minorHAnsi" w:eastAsia="Times New Roman" w:hAnsiTheme="minorHAnsi" w:cs="Times New Roman"/>
                <w:sz w:val="20"/>
                <w:szCs w:val="20"/>
                <w:lang w:eastAsia="en-GB"/>
              </w:rPr>
            </w:pPr>
            <w:r w:rsidRPr="00BA524E">
              <w:rPr>
                <w:rFonts w:asciiTheme="minorHAnsi" w:hAnsiTheme="minorHAnsi" w:cs="Times New Roman"/>
                <w:sz w:val="20"/>
                <w:szCs w:val="20"/>
              </w:rPr>
              <w:lastRenderedPageBreak/>
              <w:t xml:space="preserve">One review </w:t>
            </w:r>
            <w:r w:rsidRPr="00BA524E">
              <w:rPr>
                <w:rFonts w:asciiTheme="minorHAnsi" w:hAnsiTheme="minorHAnsi" w:cs="Times New Roman"/>
                <w:sz w:val="20"/>
                <w:szCs w:val="20"/>
              </w:rPr>
              <w:lastRenderedPageBreak/>
              <w:t>reported that the tool r</w:t>
            </w:r>
            <w:r w:rsidRPr="00BA524E">
              <w:rPr>
                <w:rFonts w:asciiTheme="minorHAnsi" w:eastAsia="Times New Roman" w:hAnsiTheme="minorHAnsi" w:cs="Times New Roman"/>
                <w:sz w:val="20"/>
                <w:szCs w:val="20"/>
                <w:lang w:eastAsia="en-GB"/>
              </w:rPr>
              <w:t xml:space="preserve">equires time commitment. However another review states that </w:t>
            </w:r>
            <w:r w:rsidRPr="00BA524E">
              <w:rPr>
                <w:rFonts w:asciiTheme="minorHAnsi" w:hAnsiTheme="minorHAnsi" w:cs="Times New Roman"/>
                <w:sz w:val="20"/>
                <w:szCs w:val="20"/>
              </w:rPr>
              <w:t xml:space="preserve">MOBID -2 appears to be time-efficient in use (mean 4.37 min, range 2-7 min). </w:t>
            </w:r>
          </w:p>
          <w:p w:rsidR="00093FD6" w:rsidRPr="00BA524E" w:rsidRDefault="00093FD6" w:rsidP="00212E72">
            <w:pPr>
              <w:tabs>
                <w:tab w:val="left" w:pos="1386"/>
              </w:tabs>
              <w:spacing w:before="0" w:line="240" w:lineRule="auto"/>
              <w:jc w:val="left"/>
              <w:rPr>
                <w:rFonts w:asciiTheme="minorHAnsi" w:eastAsia="Times New Roman" w:hAnsiTheme="minorHAnsi" w:cs="Times New Roman"/>
                <w:sz w:val="20"/>
                <w:szCs w:val="20"/>
                <w:lang w:eastAsia="en-GB"/>
              </w:rPr>
            </w:pPr>
          </w:p>
        </w:tc>
        <w:tc>
          <w:tcPr>
            <w:tcW w:w="618" w:type="pct"/>
            <w:shd w:val="clear" w:color="auto" w:fill="auto"/>
          </w:tcPr>
          <w:p w:rsidR="00093FD6" w:rsidRPr="00BA524E" w:rsidRDefault="00093FD6" w:rsidP="00212E72">
            <w:pPr>
              <w:tabs>
                <w:tab w:val="left" w:pos="2011"/>
              </w:tabs>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lastRenderedPageBreak/>
              <w:t xml:space="preserve">One review stated </w:t>
            </w:r>
            <w:r w:rsidRPr="00BA524E">
              <w:rPr>
                <w:rFonts w:asciiTheme="minorHAnsi" w:hAnsiTheme="minorHAnsi" w:cs="Times New Roman"/>
                <w:sz w:val="20"/>
                <w:szCs w:val="20"/>
              </w:rPr>
              <w:lastRenderedPageBreak/>
              <w:t xml:space="preserve">the method of administration is clear; one that it is not.  </w:t>
            </w:r>
          </w:p>
          <w:p w:rsidR="00093FD6" w:rsidRPr="00BA524E" w:rsidRDefault="00093FD6" w:rsidP="00212E72">
            <w:pPr>
              <w:tabs>
                <w:tab w:val="left" w:pos="2011"/>
              </w:tabs>
              <w:spacing w:before="0" w:line="240" w:lineRule="auto"/>
              <w:jc w:val="left"/>
              <w:rPr>
                <w:rFonts w:asciiTheme="minorHAnsi" w:eastAsia="Times New Roman" w:hAnsiTheme="minorHAnsi" w:cs="Times New Roman"/>
                <w:sz w:val="20"/>
                <w:szCs w:val="20"/>
                <w:lang w:eastAsia="en-GB"/>
              </w:rPr>
            </w:pPr>
          </w:p>
        </w:tc>
        <w:tc>
          <w:tcPr>
            <w:tcW w:w="801" w:type="pct"/>
            <w:shd w:val="clear" w:color="auto" w:fill="auto"/>
          </w:tcPr>
          <w:p w:rsidR="00093FD6" w:rsidRPr="00BA524E" w:rsidRDefault="00093FD6" w:rsidP="00212E72">
            <w:pPr>
              <w:tabs>
                <w:tab w:val="left" w:pos="2011"/>
              </w:tabs>
              <w:spacing w:before="0" w:line="240" w:lineRule="auto"/>
              <w:jc w:val="left"/>
              <w:rPr>
                <w:rFonts w:asciiTheme="minorHAnsi" w:eastAsia="Times New Roman" w:hAnsiTheme="minorHAnsi" w:cs="Times New Roman"/>
                <w:sz w:val="20"/>
                <w:szCs w:val="20"/>
                <w:lang w:eastAsia="en-GB"/>
              </w:rPr>
            </w:pPr>
            <w:r w:rsidRPr="00BA524E">
              <w:rPr>
                <w:rFonts w:asciiTheme="minorHAnsi" w:hAnsiTheme="minorHAnsi" w:cs="Times New Roman"/>
                <w:sz w:val="20"/>
                <w:szCs w:val="20"/>
              </w:rPr>
              <w:lastRenderedPageBreak/>
              <w:t xml:space="preserve">Two reviews identified </w:t>
            </w:r>
            <w:r w:rsidRPr="00BA524E">
              <w:rPr>
                <w:rFonts w:asciiTheme="minorHAnsi" w:hAnsiTheme="minorHAnsi" w:cs="Times New Roman"/>
                <w:sz w:val="20"/>
                <w:szCs w:val="20"/>
              </w:rPr>
              <w:lastRenderedPageBreak/>
              <w:t>lack of clarity with regard to the scoring instructions.</w:t>
            </w:r>
          </w:p>
        </w:tc>
        <w:tc>
          <w:tcPr>
            <w:tcW w:w="658"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lastRenderedPageBreak/>
              <w:t xml:space="preserve">One review reported </w:t>
            </w:r>
            <w:r w:rsidRPr="00BA524E">
              <w:rPr>
                <w:rFonts w:asciiTheme="minorHAnsi" w:hAnsiTheme="minorHAnsi" w:cs="Times New Roman"/>
                <w:sz w:val="20"/>
                <w:szCs w:val="20"/>
              </w:rPr>
              <w:lastRenderedPageBreak/>
              <w:t>that training involves a 2h session.</w:t>
            </w:r>
          </w:p>
        </w:tc>
        <w:tc>
          <w:tcPr>
            <w:tcW w:w="725"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hAnsiTheme="minorHAnsi" w:cs="Times New Roman"/>
                <w:sz w:val="20"/>
                <w:szCs w:val="20"/>
              </w:rPr>
              <w:lastRenderedPageBreak/>
              <w:t xml:space="preserve">One review reported </w:t>
            </w:r>
            <w:r w:rsidRPr="00BA524E">
              <w:rPr>
                <w:rFonts w:asciiTheme="minorHAnsi" w:hAnsiTheme="minorHAnsi" w:cs="Times New Roman"/>
                <w:sz w:val="20"/>
                <w:szCs w:val="20"/>
              </w:rPr>
              <w:lastRenderedPageBreak/>
              <w:t>that studies [of MOBID-2] “</w:t>
            </w:r>
            <w:r w:rsidRPr="00BA524E">
              <w:rPr>
                <w:rFonts w:asciiTheme="minorHAnsi" w:hAnsiTheme="minorHAnsi" w:cs="Minion Pro"/>
                <w:color w:val="000000"/>
                <w:sz w:val="20"/>
                <w:szCs w:val="20"/>
              </w:rPr>
              <w:t xml:space="preserve">indicate high to excellent aspects of reliability and validity of this assessment scale, including </w:t>
            </w:r>
            <w:r w:rsidRPr="00BA524E">
              <w:rPr>
                <w:rFonts w:asciiTheme="minorHAnsi" w:hAnsiTheme="minorHAnsi" w:cs="Minion Pro"/>
                <w:i/>
                <w:color w:val="000000"/>
                <w:sz w:val="20"/>
                <w:szCs w:val="20"/>
              </w:rPr>
              <w:t>feasibility</w:t>
            </w:r>
            <w:r w:rsidRPr="00BA524E">
              <w:rPr>
                <w:rFonts w:asciiTheme="minorHAnsi" w:hAnsiTheme="minorHAnsi" w:cs="Minion Pro"/>
                <w:color w:val="000000"/>
                <w:sz w:val="20"/>
                <w:szCs w:val="20"/>
              </w:rPr>
              <w:t xml:space="preserve"> in clinical practice</w:t>
            </w:r>
            <w:r w:rsidRPr="00BA524E">
              <w:rPr>
                <w:rFonts w:asciiTheme="minorHAnsi" w:hAnsiTheme="minorHAnsi"/>
                <w:sz w:val="20"/>
                <w:szCs w:val="20"/>
              </w:rPr>
              <w:t xml:space="preserve">” </w:t>
            </w:r>
            <w:r>
              <w:rPr>
                <w:rFonts w:asciiTheme="minorHAnsi" w:hAnsiTheme="minorHAnsi"/>
                <w:sz w:val="20"/>
                <w:szCs w:val="20"/>
              </w:rPr>
              <w:t>[22].</w:t>
            </w:r>
          </w:p>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sz w:val="20"/>
                <w:szCs w:val="20"/>
              </w:rPr>
              <w:t xml:space="preserve">However, one review suggested that the lack of scoring methods and the time required hinders the </w:t>
            </w:r>
            <w:r w:rsidRPr="00BA524E">
              <w:rPr>
                <w:rFonts w:asciiTheme="minorHAnsi" w:hAnsiTheme="minorHAnsi" w:cs="Times-Roman"/>
                <w:i/>
                <w:sz w:val="20"/>
                <w:szCs w:val="20"/>
              </w:rPr>
              <w:t>clinical utility</w:t>
            </w:r>
            <w:r w:rsidRPr="00BA524E">
              <w:rPr>
                <w:rFonts w:asciiTheme="minorHAnsi" w:hAnsiTheme="minorHAnsi" w:cs="Times-Roman"/>
                <w:sz w:val="20"/>
                <w:szCs w:val="20"/>
              </w:rPr>
              <w:t xml:space="preserve"> of the tool [i.e. its feasibility].</w:t>
            </w:r>
          </w:p>
          <w:p w:rsidR="00093FD6" w:rsidRPr="00BA524E" w:rsidRDefault="00093FD6" w:rsidP="00212E72">
            <w:pPr>
              <w:spacing w:before="0" w:line="240" w:lineRule="auto"/>
              <w:jc w:val="left"/>
              <w:rPr>
                <w:rFonts w:asciiTheme="minorHAnsi" w:hAnsiTheme="minorHAnsi" w:cs="Times New Roman"/>
                <w:sz w:val="20"/>
                <w:szCs w:val="20"/>
              </w:rPr>
            </w:pP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5817E0">
              <w:rPr>
                <w:rFonts w:asciiTheme="minorHAnsi" w:hAnsiTheme="minorHAnsi" w:cs="Times New Roman"/>
                <w:color w:val="000000"/>
                <w:sz w:val="20"/>
                <w:szCs w:val="20"/>
              </w:rPr>
              <w:lastRenderedPageBreak/>
              <w:t>[21</w:t>
            </w:r>
            <w:r>
              <w:rPr>
                <w:rFonts w:asciiTheme="minorHAnsi" w:hAnsiTheme="minorHAnsi" w:cs="Times New Roman"/>
                <w:color w:val="000000"/>
                <w:sz w:val="20"/>
                <w:szCs w:val="20"/>
              </w:rPr>
              <w:t>] [22] [27] [37] [41]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cs="Times New Roman"/>
                <w:b/>
                <w:color w:val="000000"/>
                <w:sz w:val="20"/>
                <w:szCs w:val="20"/>
              </w:rPr>
              <w:t>NOPPAIN</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hAnsiTheme="minorHAnsi" w:cs="Giovanni-Book"/>
                <w:sz w:val="20"/>
                <w:szCs w:val="20"/>
              </w:rPr>
              <w:t>One review reported that according to the authors, the scale is easy to administer.</w:t>
            </w:r>
          </w:p>
        </w:tc>
        <w:tc>
          <w:tcPr>
            <w:tcW w:w="644"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Three reviews indicated that the tool requires little time to complete. </w:t>
            </w:r>
          </w:p>
          <w:p w:rsidR="00093FD6" w:rsidRPr="00BA524E" w:rsidRDefault="00093FD6" w:rsidP="00212E72">
            <w:pPr>
              <w:autoSpaceDE w:val="0"/>
              <w:autoSpaceDN w:val="0"/>
              <w:adjustRightInd w:val="0"/>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There was a discrepancy with regard to the time – from 30 seconds to 15 minutes. This may be due to the inclusion or exclusion of the period of observation required prior to tool completion. </w:t>
            </w:r>
          </w:p>
        </w:tc>
        <w:tc>
          <w:tcPr>
            <w:tcW w:w="618"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Three reviews indicated that the method of administration was described or clearly identified. </w:t>
            </w:r>
          </w:p>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Two reviews indicated that the availability of illustrations make use in practice easier.</w:t>
            </w:r>
          </w:p>
          <w:p w:rsidR="00093FD6" w:rsidRPr="00BA524E" w:rsidRDefault="00093FD6" w:rsidP="00212E72">
            <w:pPr>
              <w:tabs>
                <w:tab w:val="left" w:pos="2011"/>
              </w:tabs>
              <w:spacing w:before="0" w:line="240" w:lineRule="auto"/>
              <w:jc w:val="left"/>
              <w:rPr>
                <w:rFonts w:asciiTheme="minorHAnsi" w:hAnsiTheme="minorHAnsi" w:cs="Times New Roman"/>
                <w:sz w:val="20"/>
                <w:szCs w:val="20"/>
              </w:rPr>
            </w:pPr>
          </w:p>
          <w:p w:rsidR="00093FD6" w:rsidRPr="00BA524E" w:rsidRDefault="00093FD6" w:rsidP="00212E72">
            <w:pPr>
              <w:tabs>
                <w:tab w:val="left" w:pos="2011"/>
              </w:tabs>
              <w:spacing w:before="0" w:line="240" w:lineRule="auto"/>
              <w:jc w:val="left"/>
              <w:rPr>
                <w:rFonts w:asciiTheme="minorHAnsi" w:hAnsiTheme="minorHAnsi" w:cs="Times New Roman"/>
                <w:sz w:val="20"/>
                <w:szCs w:val="20"/>
              </w:rPr>
            </w:pPr>
          </w:p>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p>
        </w:tc>
        <w:tc>
          <w:tcPr>
            <w:tcW w:w="801"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Two reviews indicated that scoring procedures are unclear. </w:t>
            </w:r>
          </w:p>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Two reviews indicated that no criteria are provided for establishing low to high intensity of pain behaviour. One review stated that</w:t>
            </w:r>
            <w:r w:rsidRPr="00BA524E">
              <w:rPr>
                <w:rFonts w:asciiTheme="minorHAnsi" w:hAnsiTheme="minorHAnsi" w:cs="Times New Roman"/>
                <w:color w:val="4BACC6" w:themeColor="accent5"/>
                <w:sz w:val="20"/>
                <w:szCs w:val="20"/>
              </w:rPr>
              <w:t xml:space="preserve"> </w:t>
            </w:r>
            <w:r w:rsidRPr="00BA524E">
              <w:rPr>
                <w:rFonts w:asciiTheme="minorHAnsi" w:hAnsiTheme="minorHAnsi" w:cs="Times New Roman"/>
                <w:sz w:val="20"/>
                <w:szCs w:val="20"/>
              </w:rPr>
              <w:t>caregivers found it difficult to discriminate between mild and moderate pain.</w:t>
            </w:r>
          </w:p>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sz w:val="20"/>
                <w:szCs w:val="20"/>
                <w:lang w:eastAsia="en-GB"/>
              </w:rPr>
            </w:pPr>
          </w:p>
        </w:tc>
        <w:tc>
          <w:tcPr>
            <w:tcW w:w="658"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cs="Times New Roman"/>
                <w:sz w:val="20"/>
                <w:szCs w:val="20"/>
              </w:rPr>
              <w:t xml:space="preserve">One review reported the authors’ claim that the scale can be used with very little training. However, three reviews expressed concerns for the lack of clarity or data as to what investment in training is needed. </w:t>
            </w:r>
          </w:p>
          <w:p w:rsidR="00093FD6" w:rsidRPr="00BA524E" w:rsidRDefault="00093FD6" w:rsidP="00212E72">
            <w:pPr>
              <w:spacing w:before="0" w:line="240" w:lineRule="auto"/>
              <w:jc w:val="left"/>
              <w:rPr>
                <w:rFonts w:asciiTheme="minorHAnsi" w:hAnsiTheme="minorHAnsi" w:cs="Times New Roman"/>
                <w:sz w:val="20"/>
                <w:szCs w:val="20"/>
              </w:rPr>
            </w:pPr>
          </w:p>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p>
        </w:tc>
        <w:tc>
          <w:tcPr>
            <w:tcW w:w="725"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cs="Times New Roman"/>
                <w:sz w:val="20"/>
                <w:szCs w:val="20"/>
              </w:rPr>
            </w:pPr>
            <w:r w:rsidRPr="00BA524E">
              <w:rPr>
                <w:rFonts w:asciiTheme="minorHAnsi" w:hAnsiTheme="minorHAnsi" w:cs="AdvPSA33E"/>
                <w:sz w:val="20"/>
                <w:szCs w:val="20"/>
              </w:rPr>
              <w:t xml:space="preserve">One review suggested that one of the strengths of the tool is </w:t>
            </w:r>
            <w:r w:rsidRPr="00BA524E">
              <w:rPr>
                <w:rFonts w:asciiTheme="minorHAnsi" w:hAnsiTheme="minorHAnsi" w:cs="AdvPSA33E"/>
                <w:i/>
                <w:sz w:val="20"/>
                <w:szCs w:val="20"/>
              </w:rPr>
              <w:t xml:space="preserve">the ease of administration by nursing assistants. </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s="Times New Roman"/>
                <w:color w:val="000000"/>
                <w:sz w:val="20"/>
                <w:szCs w:val="20"/>
              </w:rPr>
            </w:pPr>
            <w:r w:rsidRPr="005817E0">
              <w:rPr>
                <w:rFonts w:asciiTheme="minorHAnsi" w:hAnsiTheme="minorHAnsi"/>
                <w:color w:val="000000"/>
                <w:sz w:val="20"/>
                <w:szCs w:val="20"/>
              </w:rPr>
              <w:t>[21] [43]</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b/>
                <w:color w:val="000000"/>
                <w:sz w:val="20"/>
                <w:szCs w:val="20"/>
              </w:rPr>
              <w:t xml:space="preserve">Observational Pain Behaviour Tool </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eastAsia="Times New Roman" w:hAnsiTheme="minorHAnsi" w:cs="Times New Roman"/>
                <w:color w:val="000000"/>
                <w:sz w:val="20"/>
                <w:szCs w:val="20"/>
                <w:lang w:eastAsia="en-GB"/>
              </w:rPr>
              <w:t xml:space="preserve">One review [31] suggests that the authors of the study “claim that the tool is </w:t>
            </w:r>
            <w:r w:rsidRPr="00BA524E">
              <w:rPr>
                <w:rFonts w:asciiTheme="minorHAnsi" w:eastAsia="Times New Roman" w:hAnsiTheme="minorHAnsi" w:cs="Times New Roman"/>
                <w:color w:val="000000"/>
                <w:sz w:val="20"/>
                <w:szCs w:val="20"/>
                <w:lang w:eastAsia="en-GB"/>
              </w:rPr>
              <w:lastRenderedPageBreak/>
              <w:t>practical”</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5817E0">
              <w:rPr>
                <w:rFonts w:asciiTheme="minorHAnsi" w:hAnsiTheme="minorHAnsi"/>
                <w:color w:val="000000"/>
                <w:sz w:val="20"/>
                <w:szCs w:val="20"/>
              </w:rPr>
              <w:lastRenderedPageBreak/>
              <w:t>[21] [22] [27] [37] [41]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PACSLAC</w:t>
            </w:r>
          </w:p>
          <w:p w:rsidR="00093FD6" w:rsidRPr="00BA524E" w:rsidRDefault="00093FD6" w:rsidP="00212E72">
            <w:pPr>
              <w:spacing w:before="0" w:line="240" w:lineRule="auto"/>
              <w:jc w:val="left"/>
              <w:rPr>
                <w:rFonts w:asciiTheme="minorHAnsi" w:hAnsiTheme="minorHAnsi"/>
                <w:b/>
                <w:color w:val="000000"/>
                <w:sz w:val="20"/>
                <w:szCs w:val="20"/>
              </w:rPr>
            </w:pPr>
          </w:p>
          <w:p w:rsidR="00093FD6" w:rsidRPr="00BA524E" w:rsidRDefault="00093FD6" w:rsidP="00212E72">
            <w:pPr>
              <w:spacing w:before="0" w:line="240" w:lineRule="auto"/>
              <w:jc w:val="left"/>
              <w:rPr>
                <w:rFonts w:asciiTheme="minorHAnsi" w:hAnsiTheme="minorHAnsi"/>
                <w:b/>
                <w:color w:val="000000"/>
                <w:sz w:val="20"/>
                <w:szCs w:val="20"/>
              </w:rPr>
            </w:pPr>
          </w:p>
          <w:p w:rsidR="00093FD6" w:rsidRPr="00BA524E" w:rsidRDefault="00093FD6" w:rsidP="00212E72">
            <w:pPr>
              <w:spacing w:before="0" w:line="240" w:lineRule="auto"/>
              <w:jc w:val="left"/>
              <w:rPr>
                <w:rFonts w:asciiTheme="minorHAnsi" w:hAnsiTheme="minorHAnsi"/>
                <w:b/>
                <w:color w:val="000000"/>
                <w:sz w:val="20"/>
                <w:szCs w:val="20"/>
              </w:rPr>
            </w:pP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Three reviews seemed to agree that the tool, although being long, appears to be easy to use.</w:t>
            </w: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One reviews suggested that the tool appears complicated. </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Three reviews indicated that the tool requires a limited amo</w:t>
            </w:r>
            <w:r w:rsidRPr="00BA524E">
              <w:rPr>
                <w:rFonts w:asciiTheme="minorHAnsi" w:hAnsiTheme="minorHAnsi"/>
                <w:sz w:val="20"/>
                <w:szCs w:val="20"/>
              </w:rPr>
              <w:t>u</w:t>
            </w:r>
            <w:r w:rsidRPr="00BA524E">
              <w:rPr>
                <w:rFonts w:asciiTheme="minorHAnsi" w:eastAsia="Times New Roman" w:hAnsiTheme="minorHAnsi" w:cs="Times New Roman"/>
                <w:color w:val="000000"/>
                <w:sz w:val="20"/>
                <w:szCs w:val="20"/>
                <w:lang w:eastAsia="en-GB"/>
              </w:rPr>
              <w:t xml:space="preserve">nt of time i.e. about 5 minutes.  However one review states that no data was provided on time taken to administer tool. </w:t>
            </w:r>
          </w:p>
          <w:p w:rsidR="00093FD6" w:rsidRPr="00BA524E" w:rsidRDefault="00093FD6" w:rsidP="00212E72">
            <w:pPr>
              <w:tabs>
                <w:tab w:val="left" w:pos="1386"/>
              </w:tabs>
              <w:spacing w:before="0" w:line="240" w:lineRule="auto"/>
              <w:jc w:val="left"/>
              <w:rPr>
                <w:rFonts w:asciiTheme="minorHAnsi" w:hAnsiTheme="minorHAnsi" w:cs="Times New Roman"/>
                <w:sz w:val="20"/>
                <w:szCs w:val="20"/>
              </w:rPr>
            </w:pPr>
          </w:p>
          <w:p w:rsidR="00093FD6" w:rsidRPr="00BA524E" w:rsidRDefault="00093FD6" w:rsidP="00212E72">
            <w:pPr>
              <w:tabs>
                <w:tab w:val="left" w:pos="1386"/>
              </w:tabs>
              <w:spacing w:before="0" w:line="240" w:lineRule="auto"/>
              <w:jc w:val="left"/>
              <w:rPr>
                <w:rFonts w:asciiTheme="minorHAnsi" w:hAnsiTheme="minorHAnsi" w:cs="Times New Roman"/>
                <w:sz w:val="20"/>
                <w:szCs w:val="20"/>
              </w:rPr>
            </w:pPr>
          </w:p>
        </w:tc>
        <w:tc>
          <w:tcPr>
            <w:tcW w:w="618" w:type="pct"/>
            <w:shd w:val="clear" w:color="auto" w:fill="auto"/>
          </w:tcPr>
          <w:p w:rsidR="00093FD6" w:rsidRPr="00BA524E" w:rsidRDefault="00093FD6" w:rsidP="00212E72">
            <w:pPr>
              <w:tabs>
                <w:tab w:val="left" w:pos="2011"/>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Three reviews stated that clear instructions for use were available on the tool form. </w:t>
            </w:r>
          </w:p>
          <w:p w:rsidR="00093FD6" w:rsidRPr="00BA524E" w:rsidRDefault="00093FD6" w:rsidP="00212E72">
            <w:pPr>
              <w:tabs>
                <w:tab w:val="left" w:pos="2011"/>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autoSpaceDE w:val="0"/>
              <w:autoSpaceDN w:val="0"/>
              <w:adjustRightInd w:val="0"/>
              <w:spacing w:before="0" w:line="240" w:lineRule="auto"/>
              <w:jc w:val="left"/>
              <w:rPr>
                <w:rFonts w:asciiTheme="minorHAnsi" w:hAnsiTheme="minorHAnsi" w:cs="Times New Roman"/>
                <w:sz w:val="20"/>
                <w:szCs w:val="20"/>
              </w:rPr>
            </w:pPr>
          </w:p>
        </w:tc>
        <w:tc>
          <w:tcPr>
            <w:tcW w:w="801" w:type="pct"/>
            <w:shd w:val="clear" w:color="auto" w:fill="auto"/>
          </w:tcPr>
          <w:p w:rsidR="00093FD6" w:rsidRPr="00BA524E" w:rsidRDefault="00093FD6" w:rsidP="00212E72">
            <w:pPr>
              <w:spacing w:before="0" w:line="240" w:lineRule="auto"/>
              <w:jc w:val="left"/>
              <w:rPr>
                <w:rFonts w:asciiTheme="minorHAnsi" w:hAnsiTheme="minorHAnsi" w:cs="AdvPSA33E"/>
                <w:sz w:val="20"/>
                <w:szCs w:val="20"/>
              </w:rPr>
            </w:pPr>
            <w:r w:rsidRPr="00BA524E">
              <w:rPr>
                <w:rFonts w:asciiTheme="minorHAnsi" w:eastAsia="Times New Roman" w:hAnsiTheme="minorHAnsi" w:cs="Times New Roman"/>
                <w:color w:val="000000"/>
                <w:sz w:val="20"/>
                <w:szCs w:val="20"/>
                <w:lang w:eastAsia="en-GB"/>
              </w:rPr>
              <w:t>Two reviews stated that s</w:t>
            </w:r>
            <w:r w:rsidRPr="00BA524E">
              <w:rPr>
                <w:rFonts w:asciiTheme="minorHAnsi" w:hAnsiTheme="minorHAnsi" w:cs="AdvPSA33E"/>
                <w:sz w:val="20"/>
                <w:szCs w:val="20"/>
              </w:rPr>
              <w:t>imple instructions on how</w:t>
            </w:r>
          </w:p>
          <w:p w:rsidR="00093FD6" w:rsidRPr="00BA524E" w:rsidRDefault="00093FD6" w:rsidP="00212E72">
            <w:pPr>
              <w:autoSpaceDE w:val="0"/>
              <w:autoSpaceDN w:val="0"/>
              <w:adjustRightInd w:val="0"/>
              <w:spacing w:before="0" w:line="240" w:lineRule="auto"/>
              <w:jc w:val="left"/>
              <w:rPr>
                <w:rFonts w:asciiTheme="minorHAnsi" w:eastAsia="Times New Roman" w:hAnsiTheme="minorHAnsi" w:cs="Times New Roman"/>
                <w:sz w:val="20"/>
                <w:szCs w:val="20"/>
                <w:lang w:eastAsia="en-GB"/>
              </w:rPr>
            </w:pPr>
            <w:r w:rsidRPr="00BA524E">
              <w:rPr>
                <w:rFonts w:asciiTheme="minorHAnsi" w:hAnsiTheme="minorHAnsi" w:cs="AdvPSA33E"/>
                <w:sz w:val="20"/>
                <w:szCs w:val="20"/>
              </w:rPr>
              <w:t>to score the tool are clearly described on the tool form</w:t>
            </w: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Two reviews mentioned training, one because level and length of training were not reported, and the other as it appears complicated at face value and necessitating training.</w:t>
            </w:r>
          </w:p>
        </w:tc>
        <w:tc>
          <w:tcPr>
            <w:tcW w:w="725" w:type="pct"/>
            <w:shd w:val="clear" w:color="auto" w:fill="auto"/>
          </w:tcPr>
          <w:p w:rsidR="00093FD6" w:rsidRPr="00BA524E" w:rsidRDefault="00093FD6" w:rsidP="007936D1">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One review suggested that time to administer the tool would be “an important determinant in evaluating [its] </w:t>
            </w:r>
            <w:r w:rsidRPr="00BA524E">
              <w:rPr>
                <w:rFonts w:asciiTheme="minorHAnsi" w:eastAsia="Times New Roman" w:hAnsiTheme="minorHAnsi" w:cs="Times New Roman"/>
                <w:i/>
                <w:color w:val="000000"/>
                <w:sz w:val="20"/>
                <w:szCs w:val="20"/>
                <w:lang w:eastAsia="en-GB"/>
              </w:rPr>
              <w:t>utility</w:t>
            </w:r>
            <w:r w:rsidRPr="00BA524E">
              <w:rPr>
                <w:rFonts w:asciiTheme="minorHAnsi" w:eastAsia="Times New Roman" w:hAnsiTheme="minorHAnsi" w:cs="Times New Roman"/>
                <w:color w:val="000000"/>
                <w:sz w:val="20"/>
                <w:szCs w:val="20"/>
                <w:lang w:eastAsia="en-GB"/>
              </w:rPr>
              <w:t xml:space="preserve"> [i.e. feasibility] [..] considering that it has 60 items”</w:t>
            </w:r>
            <w:r>
              <w:rPr>
                <w:rFonts w:asciiTheme="minorHAnsi" w:eastAsia="Times New Roman" w:hAnsiTheme="minorHAnsi" w:cs="Times New Roman"/>
                <w:color w:val="000000"/>
                <w:sz w:val="20"/>
                <w:szCs w:val="20"/>
                <w:lang w:eastAsia="en-GB"/>
              </w:rPr>
              <w:t xml:space="preserve"> [41]</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5817E0">
              <w:rPr>
                <w:rFonts w:asciiTheme="minorHAnsi" w:hAnsiTheme="minorHAnsi"/>
                <w:color w:val="000000"/>
                <w:sz w:val="20"/>
                <w:szCs w:val="20"/>
              </w:rPr>
              <w:t>[21] [22] [27] [37] [43]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PADE</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 xml:space="preserve">Five reviews noted that it takes 5 to 10 minutes to complete. However, one of the reviews pointed out that “data to support this [statement] are not provided” in the original study, and that “considering the complexity of the items, the variety of scaling approaches, and the expectation of finding answers in the patient record, this tool may take considerably longer to administer than the suggested 5-10 </w:t>
            </w:r>
            <w:r w:rsidRPr="00BA524E">
              <w:rPr>
                <w:rFonts w:asciiTheme="minorHAnsi" w:eastAsia="Times New Roman" w:hAnsiTheme="minorHAnsi" w:cs="Times New Roman"/>
                <w:color w:val="000000"/>
                <w:sz w:val="20"/>
                <w:szCs w:val="20"/>
                <w:lang w:eastAsia="en-GB"/>
              </w:rPr>
              <w:lastRenderedPageBreak/>
              <w:t>minutes” [19]. This observation was supported by two other reviews.</w:t>
            </w:r>
          </w:p>
        </w:tc>
        <w:tc>
          <w:tcPr>
            <w:tcW w:w="618" w:type="pct"/>
            <w:shd w:val="clear" w:color="auto" w:fill="auto"/>
          </w:tcPr>
          <w:p w:rsidR="00093FD6" w:rsidRPr="00BA524E" w:rsidRDefault="00093FD6" w:rsidP="00212E72">
            <w:pPr>
              <w:tabs>
                <w:tab w:val="left" w:pos="2011"/>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lastRenderedPageBreak/>
              <w:t>One review mentioned that an instruction manual has been developed but not available for the review.</w:t>
            </w:r>
          </w:p>
        </w:tc>
        <w:tc>
          <w:tcPr>
            <w:tcW w:w="801" w:type="pct"/>
            <w:shd w:val="clear" w:color="auto" w:fill="auto"/>
          </w:tcPr>
          <w:p w:rsidR="00093FD6" w:rsidRPr="00BA524E" w:rsidRDefault="00093FD6" w:rsidP="00212E72">
            <w:pPr>
              <w:tabs>
                <w:tab w:val="left" w:pos="2011"/>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Two reviews suggested the scale is long and has difficult format due to different scaling (Likert, VAS, Multiple choice), making scoring a challenge.</w:t>
            </w: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Two reviews suggested the tool is used by mostly or primarily nursing assistants. One the reviews suggested the use is after training and under nurse supervision.</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One review suggested time required for training should be considered.</w:t>
            </w:r>
          </w:p>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p>
        </w:tc>
        <w:tc>
          <w:tcPr>
            <w:tcW w:w="725" w:type="pct"/>
            <w:shd w:val="clear" w:color="auto" w:fill="auto"/>
          </w:tcPr>
          <w:p w:rsidR="00093FD6" w:rsidRPr="00BA524E" w:rsidRDefault="00093FD6" w:rsidP="00875C3D">
            <w:pPr>
              <w:autoSpaceDE w:val="0"/>
              <w:autoSpaceDN w:val="0"/>
              <w:adjustRightInd w:val="0"/>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One review concluded that “t</w:t>
            </w:r>
            <w:r w:rsidRPr="00BA524E">
              <w:rPr>
                <w:rFonts w:asciiTheme="minorHAnsi" w:hAnsiTheme="minorHAnsi" w:cs="AdvTTaa6ae907"/>
                <w:sz w:val="20"/>
                <w:szCs w:val="20"/>
              </w:rPr>
              <w:t xml:space="preserve">ime to complete is not known, and the complexity of some items, the variety in scoring, and the need to review chart documentation of the last 24 hours make the PADE </w:t>
            </w:r>
            <w:r w:rsidRPr="00BA524E">
              <w:rPr>
                <w:rFonts w:asciiTheme="minorHAnsi" w:hAnsiTheme="minorHAnsi" w:cs="AdvTTaa6ae907"/>
                <w:i/>
                <w:sz w:val="20"/>
                <w:szCs w:val="20"/>
              </w:rPr>
              <w:t>less feasible</w:t>
            </w:r>
            <w:r w:rsidRPr="00BA524E">
              <w:rPr>
                <w:rFonts w:asciiTheme="minorHAnsi" w:hAnsiTheme="minorHAnsi" w:cs="AdvTTaa6ae907"/>
                <w:sz w:val="20"/>
                <w:szCs w:val="20"/>
              </w:rPr>
              <w:t xml:space="preserve"> in clinical practice” [</w:t>
            </w:r>
            <w:r>
              <w:rPr>
                <w:rFonts w:asciiTheme="minorHAnsi" w:hAnsiTheme="minorHAnsi" w:cs="AdvTTaa6ae907"/>
                <w:sz w:val="20"/>
                <w:szCs w:val="20"/>
              </w:rPr>
              <w:t>44</w:t>
            </w:r>
            <w:r w:rsidRPr="00BA524E">
              <w:rPr>
                <w:rFonts w:asciiTheme="minorHAnsi" w:hAnsiTheme="minorHAnsi" w:cs="AdvTTaa6ae907"/>
                <w:sz w:val="20"/>
                <w:szCs w:val="20"/>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5817E0">
              <w:rPr>
                <w:rFonts w:asciiTheme="minorHAnsi" w:hAnsiTheme="minorHAnsi"/>
                <w:color w:val="000000"/>
                <w:sz w:val="20"/>
                <w:szCs w:val="20"/>
              </w:rPr>
              <w:lastRenderedPageBreak/>
              <w:t>[21]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cs="Times New Roman"/>
                <w:b/>
                <w:color w:val="000000"/>
                <w:sz w:val="20"/>
                <w:szCs w:val="20"/>
              </w:rPr>
              <w:t>Pain assessment scale for use with cognitively impaired adults</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Nurses reported the tool to be complex; difficult format due to different scaling and a long list.</w:t>
            </w: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Nurses reported the tool to be time consuming</w:t>
            </w:r>
          </w:p>
        </w:tc>
        <w:tc>
          <w:tcPr>
            <w:tcW w:w="618" w:type="pct"/>
            <w:shd w:val="clear" w:color="auto" w:fill="auto"/>
          </w:tcPr>
          <w:p w:rsidR="00093FD6" w:rsidRPr="00BA524E" w:rsidRDefault="00093FD6" w:rsidP="00093FD6">
            <w:pPr>
              <w:tabs>
                <w:tab w:val="left" w:pos="1820"/>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801" w:type="pct"/>
            <w:shd w:val="clear" w:color="auto" w:fill="auto"/>
          </w:tcPr>
          <w:p w:rsidR="00093FD6" w:rsidRPr="00BA524E" w:rsidRDefault="00093FD6" w:rsidP="00093FD6">
            <w:pPr>
              <w:tabs>
                <w:tab w:val="left" w:pos="1820"/>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658" w:type="pct"/>
            <w:shd w:val="clear" w:color="auto" w:fill="auto"/>
          </w:tcPr>
          <w:p w:rsidR="00093FD6" w:rsidRPr="00BA524E" w:rsidRDefault="00093FD6" w:rsidP="00093FD6">
            <w:pPr>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725" w:type="pct"/>
            <w:shd w:val="clear" w:color="auto" w:fill="auto"/>
          </w:tcPr>
          <w:p w:rsidR="00093FD6" w:rsidRPr="00BA524E" w:rsidRDefault="00093FD6" w:rsidP="00093FD6">
            <w:pPr>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s="Times New Roman"/>
                <w:color w:val="000000"/>
                <w:sz w:val="20"/>
                <w:szCs w:val="20"/>
              </w:rPr>
            </w:pPr>
            <w:r w:rsidRPr="005817E0">
              <w:rPr>
                <w:rFonts w:asciiTheme="minorHAnsi" w:hAnsiTheme="minorHAnsi"/>
                <w:color w:val="000000"/>
                <w:sz w:val="20"/>
                <w:szCs w:val="20"/>
              </w:rPr>
              <w:t>[21] [22] [27] [37] [43] [41] [42] [44]</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b/>
                <w:color w:val="000000"/>
                <w:sz w:val="20"/>
                <w:szCs w:val="20"/>
              </w:rPr>
              <w:t>PAINAD</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hAnsiTheme="minorHAnsi"/>
                <w:sz w:val="20"/>
                <w:szCs w:val="20"/>
              </w:rPr>
            </w:pPr>
            <w:r w:rsidRPr="00BA524E">
              <w:rPr>
                <w:rFonts w:asciiTheme="minorHAnsi" w:hAnsiTheme="minorHAnsi"/>
                <w:sz w:val="20"/>
                <w:szCs w:val="20"/>
              </w:rPr>
              <w:t xml:space="preserve">Two reviews reported the tool as user friendly/easy to use. </w:t>
            </w:r>
          </w:p>
          <w:p w:rsidR="00093FD6" w:rsidRPr="00BA524E" w:rsidRDefault="00093FD6" w:rsidP="00212E72">
            <w:pPr>
              <w:tabs>
                <w:tab w:val="left" w:pos="1820"/>
              </w:tabs>
              <w:spacing w:before="0" w:line="240" w:lineRule="auto"/>
              <w:jc w:val="left"/>
              <w:rPr>
                <w:rFonts w:asciiTheme="minorHAnsi" w:hAnsiTheme="minorHAnsi"/>
                <w:sz w:val="20"/>
                <w:szCs w:val="20"/>
              </w:rPr>
            </w:pPr>
            <w:r w:rsidRPr="00BA524E">
              <w:rPr>
                <w:rFonts w:asciiTheme="minorHAnsi" w:hAnsiTheme="minorHAnsi"/>
                <w:sz w:val="20"/>
                <w:szCs w:val="20"/>
              </w:rPr>
              <w:t>However, one review indicated that it seems easy to use, but the tool is complicated by an extensive list of explanations and definitions.</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hAnsiTheme="minorHAnsi" w:cs="Times New Roman"/>
                <w:sz w:val="20"/>
                <w:szCs w:val="20"/>
              </w:rPr>
            </w:pPr>
            <w:r w:rsidRPr="00BA524E">
              <w:rPr>
                <w:rFonts w:asciiTheme="minorHAnsi" w:hAnsiTheme="minorHAnsi"/>
                <w:sz w:val="20"/>
                <w:szCs w:val="20"/>
              </w:rPr>
              <w:t xml:space="preserve">One review suggested that tool takes </w:t>
            </w:r>
            <w:r w:rsidRPr="00BA524E">
              <w:rPr>
                <w:rFonts w:asciiTheme="minorHAnsi" w:hAnsiTheme="minorHAnsi" w:cs="AdvPSA33E"/>
                <w:sz w:val="20"/>
                <w:szCs w:val="20"/>
              </w:rPr>
              <w:t>a few minutes to complete. One review explained that s</w:t>
            </w:r>
            <w:r w:rsidRPr="00BA524E">
              <w:rPr>
                <w:rFonts w:asciiTheme="minorHAnsi" w:hAnsiTheme="minorHAnsi"/>
                <w:sz w:val="20"/>
                <w:szCs w:val="20"/>
              </w:rPr>
              <w:t>ubjects are observed for 5 min before completing the tool</w:t>
            </w:r>
            <w:r w:rsidRPr="00BA524E">
              <w:rPr>
                <w:rFonts w:asciiTheme="minorHAnsi" w:hAnsiTheme="minorHAnsi" w:cs="AdvPSA33E"/>
                <w:sz w:val="20"/>
                <w:szCs w:val="20"/>
              </w:rPr>
              <w:t xml:space="preserve">, but that a clear recommendation for length of observation is not provided. </w:t>
            </w:r>
          </w:p>
        </w:tc>
        <w:tc>
          <w:tcPr>
            <w:tcW w:w="618" w:type="pct"/>
            <w:shd w:val="clear" w:color="auto" w:fill="auto"/>
          </w:tcPr>
          <w:p w:rsidR="00093FD6" w:rsidRPr="00BA524E" w:rsidRDefault="00093FD6" w:rsidP="00212E72">
            <w:pPr>
              <w:spacing w:before="0" w:line="240" w:lineRule="auto"/>
              <w:jc w:val="left"/>
              <w:rPr>
                <w:rFonts w:asciiTheme="minorHAnsi" w:hAnsiTheme="minorHAnsi" w:cs="Times New Roman"/>
                <w:sz w:val="20"/>
                <w:szCs w:val="20"/>
              </w:rPr>
            </w:pPr>
            <w:r w:rsidRPr="00BA524E">
              <w:rPr>
                <w:rFonts w:asciiTheme="minorHAnsi" w:hAnsiTheme="minorHAnsi"/>
                <w:sz w:val="20"/>
                <w:szCs w:val="20"/>
              </w:rPr>
              <w:t>Two reviews reported that m</w:t>
            </w:r>
            <w:r w:rsidRPr="00BA524E">
              <w:rPr>
                <w:rFonts w:asciiTheme="minorHAnsi" w:hAnsiTheme="minorHAnsi" w:cs="AdvPSA33E"/>
                <w:sz w:val="20"/>
                <w:szCs w:val="20"/>
              </w:rPr>
              <w:t>ethod of administration is clear and a guide with definitions of items is provided.</w:t>
            </w:r>
          </w:p>
        </w:tc>
        <w:tc>
          <w:tcPr>
            <w:tcW w:w="801" w:type="pct"/>
            <w:shd w:val="clear" w:color="auto" w:fill="auto"/>
          </w:tcPr>
          <w:p w:rsidR="00093FD6" w:rsidRPr="00BA524E" w:rsidRDefault="00093FD6" w:rsidP="00212E72">
            <w:pPr>
              <w:autoSpaceDE w:val="0"/>
              <w:autoSpaceDN w:val="0"/>
              <w:adjustRightInd w:val="0"/>
              <w:spacing w:before="0" w:line="240" w:lineRule="auto"/>
              <w:jc w:val="left"/>
              <w:rPr>
                <w:rFonts w:asciiTheme="minorHAnsi" w:hAnsiTheme="minorHAnsi" w:cs="Times New Roman"/>
                <w:sz w:val="20"/>
                <w:szCs w:val="20"/>
              </w:rPr>
            </w:pPr>
            <w:r w:rsidRPr="00BA524E">
              <w:rPr>
                <w:rFonts w:asciiTheme="minorHAnsi" w:hAnsiTheme="minorHAnsi" w:cs="AdvPSA33E"/>
                <w:sz w:val="20"/>
                <w:szCs w:val="20"/>
              </w:rPr>
              <w:t>Two reviews indicated the scoring procedures are clearly described</w:t>
            </w:r>
          </w:p>
          <w:p w:rsidR="00093FD6" w:rsidRPr="00BA524E" w:rsidRDefault="00093FD6" w:rsidP="00212E72">
            <w:pPr>
              <w:spacing w:before="0" w:line="240" w:lineRule="auto"/>
              <w:jc w:val="left"/>
              <w:rPr>
                <w:rFonts w:asciiTheme="minorHAnsi" w:hAnsiTheme="minorHAnsi" w:cs="Times New Roman"/>
                <w:sz w:val="20"/>
                <w:szCs w:val="20"/>
              </w:rPr>
            </w:pPr>
          </w:p>
        </w:tc>
        <w:tc>
          <w:tcPr>
            <w:tcW w:w="658" w:type="pct"/>
            <w:shd w:val="clear" w:color="auto" w:fill="auto"/>
          </w:tcPr>
          <w:p w:rsidR="00093FD6" w:rsidRPr="00BA524E" w:rsidRDefault="00093FD6" w:rsidP="00212E72">
            <w:pPr>
              <w:spacing w:before="0" w:line="240" w:lineRule="auto"/>
              <w:jc w:val="left"/>
              <w:rPr>
                <w:rFonts w:asciiTheme="minorHAnsi" w:hAnsiTheme="minorHAnsi"/>
                <w:sz w:val="20"/>
                <w:szCs w:val="20"/>
              </w:rPr>
            </w:pPr>
            <w:r w:rsidRPr="00BA524E">
              <w:rPr>
                <w:rFonts w:asciiTheme="minorHAnsi" w:hAnsiTheme="minorHAnsi"/>
                <w:sz w:val="20"/>
                <w:szCs w:val="20"/>
              </w:rPr>
              <w:t>T</w:t>
            </w:r>
            <w:r>
              <w:rPr>
                <w:rFonts w:asciiTheme="minorHAnsi" w:hAnsiTheme="minorHAnsi"/>
                <w:sz w:val="20"/>
                <w:szCs w:val="20"/>
              </w:rPr>
              <w:t>h</w:t>
            </w:r>
            <w:r w:rsidRPr="00BA524E">
              <w:rPr>
                <w:rFonts w:asciiTheme="minorHAnsi" w:hAnsiTheme="minorHAnsi"/>
                <w:sz w:val="20"/>
                <w:szCs w:val="20"/>
              </w:rPr>
              <w:t>ree reviews indicated that training is needed to use the scale – but this was variously described as from limited training to two hours. One review stated that level and length of training time required was not reported by the authors.</w:t>
            </w:r>
          </w:p>
        </w:tc>
        <w:tc>
          <w:tcPr>
            <w:tcW w:w="725" w:type="pct"/>
            <w:shd w:val="clear" w:color="auto" w:fill="auto"/>
          </w:tcPr>
          <w:p w:rsidR="00093FD6"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s="Times New Roman"/>
                <w:color w:val="000000"/>
                <w:sz w:val="20"/>
                <w:szCs w:val="20"/>
              </w:rPr>
            </w:pPr>
            <w:r w:rsidRPr="005817E0">
              <w:rPr>
                <w:rFonts w:asciiTheme="minorHAnsi" w:hAnsiTheme="minorHAnsi" w:cs="Times New Roman"/>
                <w:color w:val="000000"/>
                <w:sz w:val="20"/>
                <w:szCs w:val="20"/>
              </w:rPr>
              <w:t>[22]</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cs="Times New Roman"/>
                <w:b/>
                <w:color w:val="000000"/>
                <w:sz w:val="20"/>
                <w:szCs w:val="20"/>
              </w:rPr>
              <w:t>PAINE</w:t>
            </w:r>
          </w:p>
        </w:tc>
        <w:tc>
          <w:tcPr>
            <w:tcW w:w="538" w:type="pct"/>
            <w:shd w:val="clear" w:color="auto" w:fill="auto"/>
          </w:tcPr>
          <w:p w:rsidR="00093FD6" w:rsidRPr="00BA524E" w:rsidRDefault="00093FD6" w:rsidP="00093FD6">
            <w:pPr>
              <w:tabs>
                <w:tab w:val="left" w:pos="1820"/>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644" w:type="pct"/>
            <w:shd w:val="clear" w:color="auto" w:fill="auto"/>
          </w:tcPr>
          <w:p w:rsidR="00093FD6" w:rsidRPr="00BA524E" w:rsidRDefault="00093FD6" w:rsidP="00093FD6">
            <w:pPr>
              <w:tabs>
                <w:tab w:val="left" w:pos="1018"/>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618" w:type="pct"/>
            <w:shd w:val="clear" w:color="auto" w:fill="auto"/>
          </w:tcPr>
          <w:p w:rsidR="00093FD6" w:rsidRPr="00BA524E" w:rsidRDefault="00093FD6" w:rsidP="00093FD6">
            <w:pPr>
              <w:tabs>
                <w:tab w:val="left" w:pos="1820"/>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801" w:type="pct"/>
            <w:shd w:val="clear" w:color="auto" w:fill="auto"/>
          </w:tcPr>
          <w:p w:rsidR="00093FD6" w:rsidRPr="00BA524E" w:rsidRDefault="00093FD6" w:rsidP="00093FD6">
            <w:pPr>
              <w:tabs>
                <w:tab w:val="left" w:pos="1820"/>
              </w:tabs>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658" w:type="pct"/>
            <w:shd w:val="clear" w:color="auto" w:fill="auto"/>
          </w:tcPr>
          <w:p w:rsidR="00093FD6" w:rsidRPr="00BA524E" w:rsidRDefault="00093FD6" w:rsidP="00093FD6">
            <w:pPr>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725" w:type="pct"/>
            <w:shd w:val="clear" w:color="auto" w:fill="auto"/>
          </w:tcPr>
          <w:p w:rsidR="00093FD6" w:rsidRPr="00BA524E" w:rsidRDefault="00093FD6" w:rsidP="00093FD6">
            <w:pPr>
              <w:spacing w:before="0" w:line="240" w:lineRule="auto"/>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093FD6" w:rsidRPr="00BA524E" w:rsidTr="00093FD6">
        <w:tc>
          <w:tcPr>
            <w:tcW w:w="508" w:type="pct"/>
          </w:tcPr>
          <w:p w:rsidR="00093FD6" w:rsidRPr="00F5110A" w:rsidRDefault="00093FD6" w:rsidP="00DE45A1">
            <w:pPr>
              <w:spacing w:before="0" w:line="240" w:lineRule="auto"/>
              <w:jc w:val="center"/>
              <w:rPr>
                <w:rFonts w:asciiTheme="minorHAnsi" w:hAnsiTheme="minorHAnsi"/>
                <w:color w:val="000000"/>
                <w:sz w:val="20"/>
                <w:szCs w:val="20"/>
              </w:rPr>
            </w:pPr>
            <w:r w:rsidRPr="005817E0">
              <w:rPr>
                <w:rFonts w:asciiTheme="minorHAnsi" w:hAnsiTheme="minorHAnsi"/>
                <w:color w:val="000000"/>
                <w:sz w:val="20"/>
                <w:szCs w:val="20"/>
              </w:rPr>
              <w:t>[42] [44]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PATCOA</w:t>
            </w:r>
          </w:p>
        </w:tc>
        <w:tc>
          <w:tcPr>
            <w:tcW w:w="538" w:type="pct"/>
            <w:shd w:val="clear" w:color="auto" w:fill="auto"/>
          </w:tcPr>
          <w:p w:rsidR="00093FD6" w:rsidRPr="00BA524E" w:rsidRDefault="00093FD6" w:rsidP="00093FD6">
            <w:pPr>
              <w:tabs>
                <w:tab w:val="left" w:pos="1820"/>
              </w:tabs>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093FD6">
            <w:pPr>
              <w:tabs>
                <w:tab w:val="left" w:pos="1018"/>
              </w:tabs>
              <w:spacing w:before="0" w:line="240" w:lineRule="auto"/>
              <w:jc w:val="center"/>
              <w:rPr>
                <w:rFonts w:asciiTheme="minorHAnsi" w:hAnsiTheme="minorHAnsi"/>
                <w:sz w:val="20"/>
                <w:szCs w:val="20"/>
              </w:rPr>
            </w:pPr>
            <w:r>
              <w:rPr>
                <w:rFonts w:asciiTheme="minorHAnsi" w:hAnsiTheme="minorHAnsi"/>
                <w:sz w:val="20"/>
                <w:szCs w:val="20"/>
              </w:rPr>
              <w:t>-</w:t>
            </w:r>
          </w:p>
          <w:p w:rsidR="00093FD6" w:rsidRPr="00BA524E" w:rsidRDefault="00093FD6" w:rsidP="00093FD6">
            <w:pPr>
              <w:tabs>
                <w:tab w:val="left" w:pos="1018"/>
              </w:tabs>
              <w:spacing w:before="0" w:line="240" w:lineRule="auto"/>
              <w:jc w:val="center"/>
              <w:rPr>
                <w:rFonts w:asciiTheme="minorHAnsi" w:hAnsiTheme="minorHAnsi"/>
                <w:sz w:val="20"/>
                <w:szCs w:val="20"/>
              </w:rPr>
            </w:pPr>
          </w:p>
          <w:p w:rsidR="00093FD6" w:rsidRPr="00BA524E" w:rsidRDefault="00093FD6" w:rsidP="00093FD6">
            <w:pPr>
              <w:tabs>
                <w:tab w:val="left" w:pos="1018"/>
              </w:tabs>
              <w:spacing w:before="0" w:line="240" w:lineRule="auto"/>
              <w:jc w:val="center"/>
              <w:rPr>
                <w:rFonts w:asciiTheme="minorHAnsi" w:hAnsiTheme="minorHAnsi"/>
                <w:sz w:val="20"/>
                <w:szCs w:val="20"/>
              </w:rPr>
            </w:pPr>
          </w:p>
          <w:p w:rsidR="00093FD6" w:rsidRPr="00BA524E" w:rsidRDefault="00093FD6" w:rsidP="00093FD6">
            <w:pPr>
              <w:tabs>
                <w:tab w:val="left" w:pos="1018"/>
              </w:tabs>
              <w:spacing w:before="0" w:line="240" w:lineRule="auto"/>
              <w:jc w:val="center"/>
              <w:rPr>
                <w:rFonts w:asciiTheme="minorHAnsi" w:hAnsiTheme="minorHAnsi"/>
                <w:sz w:val="20"/>
                <w:szCs w:val="20"/>
              </w:rPr>
            </w:pPr>
          </w:p>
        </w:tc>
        <w:tc>
          <w:tcPr>
            <w:tcW w:w="618" w:type="pct"/>
            <w:shd w:val="clear" w:color="auto" w:fill="auto"/>
          </w:tcPr>
          <w:p w:rsidR="00093FD6"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lastRenderedPageBreak/>
              <w:t>-</w:t>
            </w:r>
          </w:p>
        </w:tc>
        <w:tc>
          <w:tcPr>
            <w:tcW w:w="801" w:type="pct"/>
            <w:shd w:val="clear" w:color="auto" w:fill="auto"/>
          </w:tcPr>
          <w:p w:rsidR="00093FD6"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093FD6">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olor w:val="000000"/>
                <w:sz w:val="20"/>
                <w:szCs w:val="20"/>
              </w:rPr>
              <w:lastRenderedPageBreak/>
              <w:t>[44]</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PBM</w:t>
            </w:r>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Described as short scale, easy to use</w:t>
            </w:r>
            <w:r>
              <w:rPr>
                <w:rFonts w:asciiTheme="minorHAnsi" w:eastAsia="Times New Roman" w:hAnsiTheme="minorHAnsi" w:cs="Times New Roman"/>
                <w:color w:val="000000"/>
                <w:sz w:val="20"/>
                <w:szCs w:val="20"/>
                <w:lang w:eastAsia="en-GB"/>
              </w:rPr>
              <w:t>.</w:t>
            </w:r>
          </w:p>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hAnsiTheme="minorHAnsi" w:cs="AdvTTaa6ae907"/>
                <w:sz w:val="20"/>
                <w:szCs w:val="20"/>
              </w:rPr>
              <w:t xml:space="preserve">Described as easy to use in terms of conciseness and clear item definitions </w:t>
            </w:r>
            <w:r>
              <w:rPr>
                <w:rFonts w:asciiTheme="minorHAnsi" w:hAnsiTheme="minorHAnsi" w:cs="AdvTTaa6ae907"/>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sz w:val="20"/>
                <w:szCs w:val="20"/>
                <w:lang w:eastAsia="en-GB"/>
              </w:rPr>
              <w:t xml:space="preserve">The review suggested that the use of video recordings makes this scale </w:t>
            </w:r>
            <w:r w:rsidRPr="00BA524E">
              <w:rPr>
                <w:rFonts w:asciiTheme="minorHAnsi" w:eastAsia="Times New Roman" w:hAnsiTheme="minorHAnsi" w:cs="Times New Roman"/>
                <w:i/>
                <w:sz w:val="20"/>
                <w:szCs w:val="20"/>
                <w:lang w:eastAsia="en-GB"/>
              </w:rPr>
              <w:t>less feasible</w:t>
            </w:r>
            <w:r w:rsidRPr="00BA524E">
              <w:rPr>
                <w:rFonts w:asciiTheme="minorHAnsi" w:eastAsia="Times New Roman" w:hAnsiTheme="minorHAnsi" w:cs="Times New Roman"/>
                <w:sz w:val="20"/>
                <w:szCs w:val="20"/>
                <w:lang w:eastAsia="en-GB"/>
              </w:rPr>
              <w:t xml:space="preserve"> </w:t>
            </w:r>
            <w:r w:rsidRPr="00BA524E">
              <w:rPr>
                <w:rFonts w:asciiTheme="minorHAnsi" w:eastAsia="Times New Roman" w:hAnsiTheme="minorHAnsi" w:cs="Times New Roman"/>
                <w:color w:val="000000"/>
                <w:sz w:val="20"/>
                <w:szCs w:val="20"/>
                <w:lang w:eastAsia="en-GB"/>
              </w:rPr>
              <w:t>in clinical practice</w:t>
            </w:r>
            <w:r>
              <w:rPr>
                <w:rFonts w:asciiTheme="minorHAnsi" w:eastAsia="Times New Roman" w:hAnsiTheme="minorHAnsi" w:cs="Times New Roman"/>
                <w:color w:val="000000"/>
                <w:sz w:val="20"/>
                <w:szCs w:val="20"/>
                <w:lang w:eastAsia="en-GB"/>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s="Times New Roman"/>
                <w:color w:val="000000"/>
                <w:sz w:val="20"/>
                <w:szCs w:val="20"/>
              </w:rPr>
            </w:pPr>
            <w:r w:rsidRPr="005817E0">
              <w:rPr>
                <w:rFonts w:asciiTheme="minorHAnsi" w:hAnsiTheme="minorHAnsi"/>
                <w:color w:val="000000"/>
                <w:sz w:val="20"/>
                <w:szCs w:val="20"/>
              </w:rPr>
              <w:t>[22]</w:t>
            </w:r>
          </w:p>
        </w:tc>
        <w:tc>
          <w:tcPr>
            <w:tcW w:w="508" w:type="pct"/>
            <w:shd w:val="clear" w:color="auto" w:fill="auto"/>
          </w:tcPr>
          <w:p w:rsidR="00093FD6" w:rsidRPr="00BA524E" w:rsidRDefault="00093FD6" w:rsidP="00212E72">
            <w:pPr>
              <w:spacing w:before="0" w:line="240" w:lineRule="auto"/>
              <w:jc w:val="left"/>
              <w:rPr>
                <w:rFonts w:asciiTheme="minorHAnsi" w:hAnsiTheme="minorHAnsi" w:cs="Times New Roman"/>
                <w:b/>
                <w:color w:val="000000"/>
                <w:sz w:val="20"/>
                <w:szCs w:val="20"/>
              </w:rPr>
            </w:pPr>
            <w:r w:rsidRPr="00BA524E">
              <w:rPr>
                <w:rFonts w:asciiTheme="minorHAnsi" w:hAnsiTheme="minorHAnsi"/>
                <w:b/>
                <w:color w:val="000000"/>
                <w:sz w:val="20"/>
                <w:szCs w:val="20"/>
              </w:rPr>
              <w:t>PPI</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olor w:val="000000"/>
                <w:sz w:val="20"/>
                <w:szCs w:val="20"/>
              </w:rPr>
              <w:t>[43]</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PPQ</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1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801"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r w:rsidRPr="005817E0">
              <w:rPr>
                <w:rFonts w:asciiTheme="minorHAnsi" w:hAnsiTheme="minorHAnsi" w:cs="Times New Roman"/>
                <w:color w:val="000000"/>
                <w:sz w:val="20"/>
                <w:szCs w:val="20"/>
              </w:rPr>
              <w:t>[21]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proofErr w:type="spellStart"/>
            <w:r w:rsidRPr="00BA524E">
              <w:rPr>
                <w:rFonts w:asciiTheme="minorHAnsi" w:hAnsiTheme="minorHAnsi" w:cs="Times New Roman"/>
                <w:b/>
                <w:color w:val="000000"/>
                <w:sz w:val="20"/>
                <w:szCs w:val="20"/>
              </w:rPr>
              <w:t>RaPID</w:t>
            </w:r>
            <w:proofErr w:type="spellEnd"/>
          </w:p>
        </w:tc>
        <w:tc>
          <w:tcPr>
            <w:tcW w:w="53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Described as clustered but list of acceptable length</w:t>
            </w:r>
          </w:p>
        </w:tc>
        <w:tc>
          <w:tcPr>
            <w:tcW w:w="644" w:type="pct"/>
            <w:shd w:val="clear" w:color="auto" w:fill="auto"/>
          </w:tcPr>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p>
        </w:tc>
        <w:tc>
          <w:tcPr>
            <w:tcW w:w="61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p>
        </w:tc>
        <w:tc>
          <w:tcPr>
            <w:tcW w:w="801"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The review reported scoring interpretation not available</w:t>
            </w:r>
            <w:r>
              <w:rPr>
                <w:rFonts w:asciiTheme="minorHAnsi" w:eastAsia="Times New Roman" w:hAnsiTheme="minorHAnsi" w:cs="Times New Roman"/>
                <w:color w:val="000000"/>
                <w:sz w:val="20"/>
                <w:szCs w:val="20"/>
                <w:lang w:eastAsia="en-GB"/>
              </w:rPr>
              <w:t>.</w:t>
            </w:r>
          </w:p>
        </w:tc>
        <w:tc>
          <w:tcPr>
            <w:tcW w:w="65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tr w:rsidR="00093FD6" w:rsidRPr="00BA524E" w:rsidTr="00093FD6">
        <w:tc>
          <w:tcPr>
            <w:tcW w:w="508" w:type="pct"/>
          </w:tcPr>
          <w:p w:rsidR="00093FD6" w:rsidRPr="00F5110A" w:rsidRDefault="00093FD6" w:rsidP="00DE45A1">
            <w:pPr>
              <w:spacing w:before="0"/>
              <w:jc w:val="center"/>
              <w:rPr>
                <w:rFonts w:asciiTheme="minorHAnsi" w:hAnsiTheme="minorHAnsi"/>
                <w:color w:val="000000"/>
                <w:sz w:val="20"/>
                <w:szCs w:val="20"/>
              </w:rPr>
            </w:pPr>
            <w:bookmarkStart w:id="0" w:name="_GoBack" w:colFirst="2" w:colLast="2"/>
            <w:r w:rsidRPr="005817E0">
              <w:rPr>
                <w:rFonts w:asciiTheme="minorHAnsi" w:hAnsiTheme="minorHAnsi"/>
                <w:color w:val="000000"/>
                <w:sz w:val="20"/>
                <w:szCs w:val="20"/>
              </w:rPr>
              <w:t>[41]</w:t>
            </w:r>
          </w:p>
        </w:tc>
        <w:tc>
          <w:tcPr>
            <w:tcW w:w="508" w:type="pct"/>
            <w:shd w:val="clear" w:color="auto" w:fill="auto"/>
          </w:tcPr>
          <w:p w:rsidR="00093FD6" w:rsidRPr="00BA524E" w:rsidRDefault="00093FD6" w:rsidP="00212E72">
            <w:pPr>
              <w:spacing w:before="0" w:line="240" w:lineRule="auto"/>
              <w:jc w:val="left"/>
              <w:rPr>
                <w:rFonts w:asciiTheme="minorHAnsi" w:hAnsiTheme="minorHAnsi"/>
                <w:b/>
                <w:color w:val="000000"/>
                <w:sz w:val="20"/>
                <w:szCs w:val="20"/>
              </w:rPr>
            </w:pPr>
            <w:r w:rsidRPr="00BA524E">
              <w:rPr>
                <w:rFonts w:asciiTheme="minorHAnsi" w:hAnsiTheme="minorHAnsi"/>
                <w:b/>
                <w:color w:val="000000"/>
                <w:sz w:val="20"/>
                <w:szCs w:val="20"/>
              </w:rPr>
              <w:t>REPOS</w:t>
            </w:r>
          </w:p>
        </w:tc>
        <w:tc>
          <w:tcPr>
            <w:tcW w:w="538"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c>
          <w:tcPr>
            <w:tcW w:w="644"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Two minute observation time required before completing the tool.</w:t>
            </w:r>
          </w:p>
          <w:p w:rsidR="00093FD6" w:rsidRPr="00BA524E" w:rsidRDefault="00093FD6" w:rsidP="00212E72">
            <w:pPr>
              <w:tabs>
                <w:tab w:val="left" w:pos="1018"/>
              </w:tabs>
              <w:spacing w:before="0" w:line="240" w:lineRule="auto"/>
              <w:jc w:val="left"/>
              <w:rPr>
                <w:rFonts w:asciiTheme="minorHAnsi" w:eastAsia="Times New Roman" w:hAnsiTheme="minorHAnsi" w:cs="Times New Roman"/>
                <w:color w:val="000000"/>
                <w:sz w:val="20"/>
                <w:szCs w:val="20"/>
                <w:lang w:eastAsia="en-GB"/>
              </w:rPr>
            </w:pPr>
          </w:p>
        </w:tc>
        <w:tc>
          <w:tcPr>
            <w:tcW w:w="618"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Method of administration clearly explained.</w:t>
            </w:r>
          </w:p>
        </w:tc>
        <w:tc>
          <w:tcPr>
            <w:tcW w:w="801" w:type="pct"/>
            <w:shd w:val="clear" w:color="auto" w:fill="auto"/>
          </w:tcPr>
          <w:p w:rsidR="00093FD6" w:rsidRPr="00BA524E" w:rsidRDefault="00093FD6" w:rsidP="00212E72">
            <w:pPr>
              <w:tabs>
                <w:tab w:val="left" w:pos="1820"/>
              </w:tabs>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The review reported scoring instructions and interpretation of tool scores clearly explained.</w:t>
            </w:r>
          </w:p>
        </w:tc>
        <w:tc>
          <w:tcPr>
            <w:tcW w:w="658" w:type="pct"/>
            <w:shd w:val="clear" w:color="auto" w:fill="auto"/>
          </w:tcPr>
          <w:p w:rsidR="00093FD6" w:rsidRPr="00BA524E" w:rsidRDefault="00093FD6" w:rsidP="00212E72">
            <w:pPr>
              <w:spacing w:before="0" w:line="240" w:lineRule="auto"/>
              <w:jc w:val="left"/>
              <w:rPr>
                <w:rFonts w:asciiTheme="minorHAnsi" w:eastAsia="Times New Roman" w:hAnsiTheme="minorHAnsi" w:cs="Times New Roman"/>
                <w:color w:val="000000"/>
                <w:sz w:val="20"/>
                <w:szCs w:val="20"/>
                <w:lang w:eastAsia="en-GB"/>
              </w:rPr>
            </w:pPr>
            <w:r w:rsidRPr="00BA524E">
              <w:rPr>
                <w:rFonts w:asciiTheme="minorHAnsi" w:eastAsia="Times New Roman" w:hAnsiTheme="minorHAnsi" w:cs="Times New Roman"/>
                <w:color w:val="000000"/>
                <w:sz w:val="20"/>
                <w:szCs w:val="20"/>
                <w:lang w:eastAsia="en-GB"/>
              </w:rPr>
              <w:t>The review reported level and length of training time not reported</w:t>
            </w:r>
            <w:r>
              <w:rPr>
                <w:rFonts w:asciiTheme="minorHAnsi" w:eastAsia="Times New Roman" w:hAnsiTheme="minorHAnsi" w:cs="Times New Roman"/>
                <w:color w:val="000000"/>
                <w:sz w:val="20"/>
                <w:szCs w:val="20"/>
                <w:lang w:eastAsia="en-GB"/>
              </w:rPr>
              <w:t>.</w:t>
            </w:r>
          </w:p>
        </w:tc>
        <w:tc>
          <w:tcPr>
            <w:tcW w:w="725" w:type="pct"/>
            <w:shd w:val="clear" w:color="auto" w:fill="auto"/>
          </w:tcPr>
          <w:p w:rsidR="00093FD6" w:rsidRPr="00BA524E" w:rsidRDefault="00093FD6" w:rsidP="00DE45A1">
            <w:pPr>
              <w:spacing w:before="0" w:line="240" w:lineRule="auto"/>
              <w:jc w:val="center"/>
              <w:rPr>
                <w:rFonts w:asciiTheme="minorHAnsi" w:hAnsiTheme="minorHAnsi"/>
                <w:sz w:val="20"/>
                <w:szCs w:val="20"/>
              </w:rPr>
            </w:pPr>
            <w:r>
              <w:rPr>
                <w:rFonts w:asciiTheme="minorHAnsi" w:hAnsiTheme="minorHAnsi"/>
                <w:sz w:val="20"/>
                <w:szCs w:val="20"/>
              </w:rPr>
              <w:t>-</w:t>
            </w:r>
          </w:p>
        </w:tc>
      </w:tr>
      <w:bookmarkEnd w:id="0"/>
    </w:tbl>
    <w:p w:rsidR="00756E1F" w:rsidRPr="00BA524E" w:rsidRDefault="00756E1F" w:rsidP="00895B6A">
      <w:pPr>
        <w:spacing w:before="0" w:after="200" w:line="276" w:lineRule="auto"/>
        <w:jc w:val="left"/>
        <w:rPr>
          <w:rFonts w:asciiTheme="minorHAnsi" w:eastAsiaTheme="majorEastAsia" w:hAnsiTheme="minorHAnsi"/>
          <w:b/>
          <w:bCs/>
          <w:sz w:val="20"/>
          <w:szCs w:val="20"/>
        </w:rPr>
      </w:pPr>
    </w:p>
    <w:sectPr w:rsidR="00756E1F" w:rsidRPr="00BA524E" w:rsidSect="007B0502">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panose1 w:val="00000000000000000000"/>
    <w:charset w:val="00"/>
    <w:family w:val="swiss"/>
    <w:notTrueType/>
    <w:pitch w:val="variable"/>
    <w:sig w:usb0="00000003" w:usb1="00000000" w:usb2="00000000" w:usb3="00000000" w:csb0="00000001" w:csb1="00000000"/>
  </w:font>
  <w:font w:name="FranklinGothic-Book">
    <w:altName w:val="ITC Franklin Gothic Std Book"/>
    <w:panose1 w:val="00000000000000000000"/>
    <w:charset w:val="4D"/>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auto"/>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aa6ae907">
    <w:panose1 w:val="00000000000000000000"/>
    <w:charset w:val="00"/>
    <w:family w:val="roman"/>
    <w:notTrueType/>
    <w:pitch w:val="default"/>
    <w:sig w:usb0="00000003" w:usb1="00000000" w:usb2="00000000" w:usb3="00000000" w:csb0="00000001" w:csb1="00000000"/>
  </w:font>
  <w:font w:name="GraphicraftPalatino-Roman">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6EDA"/>
    <w:multiLevelType w:val="hybridMultilevel"/>
    <w:tmpl w:val="EE4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31155"/>
    <w:multiLevelType w:val="hybridMultilevel"/>
    <w:tmpl w:val="902090D4"/>
    <w:lvl w:ilvl="0" w:tplc="B06E0C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623B97"/>
    <w:multiLevelType w:val="hybridMultilevel"/>
    <w:tmpl w:val="A9326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9B163E"/>
    <w:multiLevelType w:val="hybridMultilevel"/>
    <w:tmpl w:val="E9E4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306931-41FD-40A3-BF07-FFB2D38F705C}"/>
    <w:docVar w:name="dgnword-eventsink" w:val="90950344"/>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2tepxadxp0eree5a0vspzptzwexdz25rvv&quot;&gt;SR1-paper&lt;record-ids&gt;&lt;item&gt;38&lt;/item&gt;&lt;/record-ids&gt;&lt;/item&gt;&lt;/Libraries&gt;"/>
  </w:docVars>
  <w:rsids>
    <w:rsidRoot w:val="005E27C9"/>
    <w:rsid w:val="00003606"/>
    <w:rsid w:val="0000407A"/>
    <w:rsid w:val="00006DF1"/>
    <w:rsid w:val="0001275A"/>
    <w:rsid w:val="0002208A"/>
    <w:rsid w:val="00024028"/>
    <w:rsid w:val="00035451"/>
    <w:rsid w:val="00043A93"/>
    <w:rsid w:val="00051C10"/>
    <w:rsid w:val="00060754"/>
    <w:rsid w:val="00083050"/>
    <w:rsid w:val="00090A6C"/>
    <w:rsid w:val="00093FD6"/>
    <w:rsid w:val="000B38F8"/>
    <w:rsid w:val="000B4DFD"/>
    <w:rsid w:val="000B796E"/>
    <w:rsid w:val="000B7CC2"/>
    <w:rsid w:val="000C4505"/>
    <w:rsid w:val="000E2C13"/>
    <w:rsid w:val="000E70BC"/>
    <w:rsid w:val="000F5D21"/>
    <w:rsid w:val="00115608"/>
    <w:rsid w:val="00116414"/>
    <w:rsid w:val="001169F1"/>
    <w:rsid w:val="00117B72"/>
    <w:rsid w:val="001212DD"/>
    <w:rsid w:val="001254C3"/>
    <w:rsid w:val="001254F5"/>
    <w:rsid w:val="001268EB"/>
    <w:rsid w:val="001319FB"/>
    <w:rsid w:val="00137456"/>
    <w:rsid w:val="00143148"/>
    <w:rsid w:val="00150991"/>
    <w:rsid w:val="001512B5"/>
    <w:rsid w:val="0016333F"/>
    <w:rsid w:val="00165796"/>
    <w:rsid w:val="00171446"/>
    <w:rsid w:val="00172431"/>
    <w:rsid w:val="001744A3"/>
    <w:rsid w:val="00174BE8"/>
    <w:rsid w:val="00175066"/>
    <w:rsid w:val="00180052"/>
    <w:rsid w:val="001811E1"/>
    <w:rsid w:val="0019078E"/>
    <w:rsid w:val="00192341"/>
    <w:rsid w:val="001A3066"/>
    <w:rsid w:val="001B0A66"/>
    <w:rsid w:val="001D1B82"/>
    <w:rsid w:val="001D434E"/>
    <w:rsid w:val="001D6B3E"/>
    <w:rsid w:val="001F2FDB"/>
    <w:rsid w:val="00200340"/>
    <w:rsid w:val="0020268C"/>
    <w:rsid w:val="0020278F"/>
    <w:rsid w:val="00206A63"/>
    <w:rsid w:val="00211E06"/>
    <w:rsid w:val="00212E72"/>
    <w:rsid w:val="00216AB1"/>
    <w:rsid w:val="00223431"/>
    <w:rsid w:val="002260DC"/>
    <w:rsid w:val="00240AA3"/>
    <w:rsid w:val="002578D2"/>
    <w:rsid w:val="0026331A"/>
    <w:rsid w:val="002653C6"/>
    <w:rsid w:val="00284E9B"/>
    <w:rsid w:val="002905B7"/>
    <w:rsid w:val="002A07C4"/>
    <w:rsid w:val="002A5B5F"/>
    <w:rsid w:val="002A7248"/>
    <w:rsid w:val="002B2703"/>
    <w:rsid w:val="002B3C26"/>
    <w:rsid w:val="002C2578"/>
    <w:rsid w:val="002D5112"/>
    <w:rsid w:val="002E37BE"/>
    <w:rsid w:val="002E48B2"/>
    <w:rsid w:val="002F6921"/>
    <w:rsid w:val="002F7C91"/>
    <w:rsid w:val="00306077"/>
    <w:rsid w:val="003146F7"/>
    <w:rsid w:val="0032091A"/>
    <w:rsid w:val="00346243"/>
    <w:rsid w:val="00355886"/>
    <w:rsid w:val="00355AB5"/>
    <w:rsid w:val="00362DEB"/>
    <w:rsid w:val="003646D9"/>
    <w:rsid w:val="0037074A"/>
    <w:rsid w:val="00370AF1"/>
    <w:rsid w:val="0037390B"/>
    <w:rsid w:val="003759BF"/>
    <w:rsid w:val="00380E81"/>
    <w:rsid w:val="00396F97"/>
    <w:rsid w:val="003A0156"/>
    <w:rsid w:val="003A3037"/>
    <w:rsid w:val="003A6BF1"/>
    <w:rsid w:val="003B7977"/>
    <w:rsid w:val="003D4710"/>
    <w:rsid w:val="003E20A7"/>
    <w:rsid w:val="003F45B3"/>
    <w:rsid w:val="003F62F0"/>
    <w:rsid w:val="003F686A"/>
    <w:rsid w:val="00402967"/>
    <w:rsid w:val="004074E8"/>
    <w:rsid w:val="0041241F"/>
    <w:rsid w:val="004148CB"/>
    <w:rsid w:val="00414976"/>
    <w:rsid w:val="004178F0"/>
    <w:rsid w:val="004556D8"/>
    <w:rsid w:val="004557B8"/>
    <w:rsid w:val="004572BF"/>
    <w:rsid w:val="00466A5A"/>
    <w:rsid w:val="00470D83"/>
    <w:rsid w:val="004719B6"/>
    <w:rsid w:val="004745BF"/>
    <w:rsid w:val="00476A62"/>
    <w:rsid w:val="00490A2E"/>
    <w:rsid w:val="004A37D1"/>
    <w:rsid w:val="004A3B6C"/>
    <w:rsid w:val="004A7113"/>
    <w:rsid w:val="004B3DCF"/>
    <w:rsid w:val="004B4449"/>
    <w:rsid w:val="004B7570"/>
    <w:rsid w:val="004B769A"/>
    <w:rsid w:val="004C2366"/>
    <w:rsid w:val="004C7A3A"/>
    <w:rsid w:val="004D03E6"/>
    <w:rsid w:val="004D29D8"/>
    <w:rsid w:val="004D4CD3"/>
    <w:rsid w:val="004E1398"/>
    <w:rsid w:val="004F0CC2"/>
    <w:rsid w:val="00541679"/>
    <w:rsid w:val="005440AB"/>
    <w:rsid w:val="00545139"/>
    <w:rsid w:val="00556907"/>
    <w:rsid w:val="005572F4"/>
    <w:rsid w:val="00557374"/>
    <w:rsid w:val="00560CC0"/>
    <w:rsid w:val="00590864"/>
    <w:rsid w:val="0059651C"/>
    <w:rsid w:val="005C521F"/>
    <w:rsid w:val="005D3190"/>
    <w:rsid w:val="005D32C6"/>
    <w:rsid w:val="005E27C9"/>
    <w:rsid w:val="005E5FFA"/>
    <w:rsid w:val="005E73A5"/>
    <w:rsid w:val="005F6443"/>
    <w:rsid w:val="005F757F"/>
    <w:rsid w:val="006016A4"/>
    <w:rsid w:val="006066F8"/>
    <w:rsid w:val="00642B2B"/>
    <w:rsid w:val="00643C92"/>
    <w:rsid w:val="006501FB"/>
    <w:rsid w:val="0065613F"/>
    <w:rsid w:val="00662AC5"/>
    <w:rsid w:val="006732D3"/>
    <w:rsid w:val="00675180"/>
    <w:rsid w:val="0068107A"/>
    <w:rsid w:val="00682D85"/>
    <w:rsid w:val="006867C3"/>
    <w:rsid w:val="00694C5A"/>
    <w:rsid w:val="006A7F97"/>
    <w:rsid w:val="006B241B"/>
    <w:rsid w:val="006B53C0"/>
    <w:rsid w:val="006B5C57"/>
    <w:rsid w:val="006D47F0"/>
    <w:rsid w:val="006E12BF"/>
    <w:rsid w:val="006E3280"/>
    <w:rsid w:val="006E7A9E"/>
    <w:rsid w:val="006F1AF7"/>
    <w:rsid w:val="006F64CC"/>
    <w:rsid w:val="006F71BD"/>
    <w:rsid w:val="006F76E0"/>
    <w:rsid w:val="00705EA7"/>
    <w:rsid w:val="007076C2"/>
    <w:rsid w:val="00727DBE"/>
    <w:rsid w:val="007325B1"/>
    <w:rsid w:val="00737A32"/>
    <w:rsid w:val="007434ED"/>
    <w:rsid w:val="007442D4"/>
    <w:rsid w:val="00745DFA"/>
    <w:rsid w:val="00756E1F"/>
    <w:rsid w:val="00764B17"/>
    <w:rsid w:val="00784723"/>
    <w:rsid w:val="00785830"/>
    <w:rsid w:val="007900E0"/>
    <w:rsid w:val="00790FF5"/>
    <w:rsid w:val="007936D1"/>
    <w:rsid w:val="007973DA"/>
    <w:rsid w:val="007A1547"/>
    <w:rsid w:val="007A2A12"/>
    <w:rsid w:val="007B0502"/>
    <w:rsid w:val="007C0FF6"/>
    <w:rsid w:val="007C35B8"/>
    <w:rsid w:val="007D5B2F"/>
    <w:rsid w:val="007D61A0"/>
    <w:rsid w:val="007E429E"/>
    <w:rsid w:val="007F3BA8"/>
    <w:rsid w:val="00807416"/>
    <w:rsid w:val="00837A2F"/>
    <w:rsid w:val="00840234"/>
    <w:rsid w:val="00846BD7"/>
    <w:rsid w:val="00850C10"/>
    <w:rsid w:val="008537B7"/>
    <w:rsid w:val="00862E63"/>
    <w:rsid w:val="0086370C"/>
    <w:rsid w:val="00875C3D"/>
    <w:rsid w:val="008800A0"/>
    <w:rsid w:val="00887797"/>
    <w:rsid w:val="00893C66"/>
    <w:rsid w:val="00895B6A"/>
    <w:rsid w:val="008B2BD1"/>
    <w:rsid w:val="008B65A4"/>
    <w:rsid w:val="008C0B9B"/>
    <w:rsid w:val="008C11C3"/>
    <w:rsid w:val="008C1D48"/>
    <w:rsid w:val="008C45C1"/>
    <w:rsid w:val="008C6628"/>
    <w:rsid w:val="008D48F7"/>
    <w:rsid w:val="008D75C0"/>
    <w:rsid w:val="008D7E75"/>
    <w:rsid w:val="008E2728"/>
    <w:rsid w:val="008E76EA"/>
    <w:rsid w:val="008F77FB"/>
    <w:rsid w:val="00901045"/>
    <w:rsid w:val="00901855"/>
    <w:rsid w:val="009050DB"/>
    <w:rsid w:val="00920E8B"/>
    <w:rsid w:val="0092386B"/>
    <w:rsid w:val="00926514"/>
    <w:rsid w:val="00930846"/>
    <w:rsid w:val="0094178B"/>
    <w:rsid w:val="00951D97"/>
    <w:rsid w:val="00956198"/>
    <w:rsid w:val="00967743"/>
    <w:rsid w:val="00975D19"/>
    <w:rsid w:val="00981251"/>
    <w:rsid w:val="00987C38"/>
    <w:rsid w:val="009A0B25"/>
    <w:rsid w:val="009A3B91"/>
    <w:rsid w:val="009A5FCB"/>
    <w:rsid w:val="009B0D00"/>
    <w:rsid w:val="009C2745"/>
    <w:rsid w:val="009C75A1"/>
    <w:rsid w:val="009D3470"/>
    <w:rsid w:val="009D7F86"/>
    <w:rsid w:val="00A01584"/>
    <w:rsid w:val="00A044E0"/>
    <w:rsid w:val="00A05CEB"/>
    <w:rsid w:val="00A11E57"/>
    <w:rsid w:val="00A148A0"/>
    <w:rsid w:val="00A2413F"/>
    <w:rsid w:val="00A3297D"/>
    <w:rsid w:val="00A41A77"/>
    <w:rsid w:val="00A43EE7"/>
    <w:rsid w:val="00A4705B"/>
    <w:rsid w:val="00A57EC7"/>
    <w:rsid w:val="00A66819"/>
    <w:rsid w:val="00A726E7"/>
    <w:rsid w:val="00A74322"/>
    <w:rsid w:val="00A878D6"/>
    <w:rsid w:val="00A87B3E"/>
    <w:rsid w:val="00AA0C88"/>
    <w:rsid w:val="00AA2D02"/>
    <w:rsid w:val="00AA676A"/>
    <w:rsid w:val="00AB55CF"/>
    <w:rsid w:val="00AB6E8A"/>
    <w:rsid w:val="00AC6AC6"/>
    <w:rsid w:val="00B10329"/>
    <w:rsid w:val="00B2562F"/>
    <w:rsid w:val="00B256B4"/>
    <w:rsid w:val="00B277B9"/>
    <w:rsid w:val="00B325E3"/>
    <w:rsid w:val="00B436C2"/>
    <w:rsid w:val="00B44C97"/>
    <w:rsid w:val="00B50526"/>
    <w:rsid w:val="00B53614"/>
    <w:rsid w:val="00B6346F"/>
    <w:rsid w:val="00B701DD"/>
    <w:rsid w:val="00B7210E"/>
    <w:rsid w:val="00B74C7B"/>
    <w:rsid w:val="00B81255"/>
    <w:rsid w:val="00B813DC"/>
    <w:rsid w:val="00B8373E"/>
    <w:rsid w:val="00B8586B"/>
    <w:rsid w:val="00BA3251"/>
    <w:rsid w:val="00BA4A5C"/>
    <w:rsid w:val="00BA524E"/>
    <w:rsid w:val="00BA63C4"/>
    <w:rsid w:val="00BC6705"/>
    <w:rsid w:val="00BD35ED"/>
    <w:rsid w:val="00C1063B"/>
    <w:rsid w:val="00C175B9"/>
    <w:rsid w:val="00C2194B"/>
    <w:rsid w:val="00C2521C"/>
    <w:rsid w:val="00C54B8B"/>
    <w:rsid w:val="00C55D56"/>
    <w:rsid w:val="00C578BA"/>
    <w:rsid w:val="00C57B9A"/>
    <w:rsid w:val="00C778BB"/>
    <w:rsid w:val="00C81C22"/>
    <w:rsid w:val="00C91590"/>
    <w:rsid w:val="00C9457A"/>
    <w:rsid w:val="00CA1279"/>
    <w:rsid w:val="00CA308A"/>
    <w:rsid w:val="00CA6DB6"/>
    <w:rsid w:val="00CB4FD5"/>
    <w:rsid w:val="00CC00CC"/>
    <w:rsid w:val="00CC086C"/>
    <w:rsid w:val="00CE54C8"/>
    <w:rsid w:val="00D245FA"/>
    <w:rsid w:val="00D32702"/>
    <w:rsid w:val="00D34ED4"/>
    <w:rsid w:val="00D45F6E"/>
    <w:rsid w:val="00D508AB"/>
    <w:rsid w:val="00D528A9"/>
    <w:rsid w:val="00D561CA"/>
    <w:rsid w:val="00D57AC2"/>
    <w:rsid w:val="00D6092B"/>
    <w:rsid w:val="00D6099D"/>
    <w:rsid w:val="00D62A3E"/>
    <w:rsid w:val="00D62C7D"/>
    <w:rsid w:val="00D658F4"/>
    <w:rsid w:val="00D74246"/>
    <w:rsid w:val="00D771CE"/>
    <w:rsid w:val="00D8000E"/>
    <w:rsid w:val="00D823E7"/>
    <w:rsid w:val="00D82A5C"/>
    <w:rsid w:val="00D869E5"/>
    <w:rsid w:val="00D86FFA"/>
    <w:rsid w:val="00DA366D"/>
    <w:rsid w:val="00DB6168"/>
    <w:rsid w:val="00DC0D5B"/>
    <w:rsid w:val="00DC492A"/>
    <w:rsid w:val="00DD1E71"/>
    <w:rsid w:val="00DD55EF"/>
    <w:rsid w:val="00DD68BD"/>
    <w:rsid w:val="00DE1F7E"/>
    <w:rsid w:val="00DF0452"/>
    <w:rsid w:val="00DF144D"/>
    <w:rsid w:val="00DF528D"/>
    <w:rsid w:val="00E00D6F"/>
    <w:rsid w:val="00E12302"/>
    <w:rsid w:val="00E20D4F"/>
    <w:rsid w:val="00E31CB0"/>
    <w:rsid w:val="00E45807"/>
    <w:rsid w:val="00E54190"/>
    <w:rsid w:val="00E63FD8"/>
    <w:rsid w:val="00E712AB"/>
    <w:rsid w:val="00E76317"/>
    <w:rsid w:val="00E77CB2"/>
    <w:rsid w:val="00E82341"/>
    <w:rsid w:val="00E90EBB"/>
    <w:rsid w:val="00E96E3B"/>
    <w:rsid w:val="00EA4004"/>
    <w:rsid w:val="00EA759E"/>
    <w:rsid w:val="00EB3A5C"/>
    <w:rsid w:val="00EB6292"/>
    <w:rsid w:val="00EC7572"/>
    <w:rsid w:val="00ED640B"/>
    <w:rsid w:val="00EE7EBE"/>
    <w:rsid w:val="00EF1F34"/>
    <w:rsid w:val="00F05D50"/>
    <w:rsid w:val="00F202CE"/>
    <w:rsid w:val="00F20BC2"/>
    <w:rsid w:val="00F33438"/>
    <w:rsid w:val="00F36482"/>
    <w:rsid w:val="00F40F15"/>
    <w:rsid w:val="00F42BA8"/>
    <w:rsid w:val="00F42C00"/>
    <w:rsid w:val="00F44B7D"/>
    <w:rsid w:val="00F57F2F"/>
    <w:rsid w:val="00F62787"/>
    <w:rsid w:val="00F70373"/>
    <w:rsid w:val="00F73397"/>
    <w:rsid w:val="00F740EB"/>
    <w:rsid w:val="00F80FC9"/>
    <w:rsid w:val="00F838DD"/>
    <w:rsid w:val="00F8463E"/>
    <w:rsid w:val="00FB2E99"/>
    <w:rsid w:val="00FC2CA2"/>
    <w:rsid w:val="00FD5383"/>
    <w:rsid w:val="00FD59DD"/>
    <w:rsid w:val="00FE455E"/>
    <w:rsid w:val="00FF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9"/>
    <w:pPr>
      <w:spacing w:before="120" w:after="0" w:line="360" w:lineRule="auto"/>
      <w:jc w:val="both"/>
    </w:pPr>
    <w:rPr>
      <w:rFonts w:ascii="Times New Roman" w:hAnsi="Times New Roman" w:cs="Arial"/>
      <w:szCs w:val="24"/>
    </w:rPr>
  </w:style>
  <w:style w:type="paragraph" w:styleId="Heading1">
    <w:name w:val="heading 1"/>
    <w:basedOn w:val="Normal"/>
    <w:next w:val="Normal"/>
    <w:link w:val="Heading1Char"/>
    <w:autoRedefine/>
    <w:uiPriority w:val="9"/>
    <w:qFormat/>
    <w:rsid w:val="001212DD"/>
    <w:pPr>
      <w:keepNext/>
      <w:keepLines/>
      <w:outlineLvl w:val="0"/>
    </w:pPr>
    <w:rPr>
      <w:rFonts w:asciiTheme="minorHAnsi" w:eastAsiaTheme="majorEastAsia" w:hAnsiTheme="minorHAnsi"/>
      <w:bCs/>
      <w:sz w:val="20"/>
      <w:szCs w:val="20"/>
    </w:rPr>
  </w:style>
  <w:style w:type="paragraph" w:styleId="Heading3">
    <w:name w:val="heading 3"/>
    <w:basedOn w:val="Normal"/>
    <w:next w:val="Normal"/>
    <w:link w:val="Heading3Char"/>
    <w:autoRedefine/>
    <w:uiPriority w:val="9"/>
    <w:unhideWhenUsed/>
    <w:qFormat/>
    <w:rsid w:val="005E27C9"/>
    <w:pPr>
      <w:keepNext/>
      <w:keepLines/>
      <w:spacing w:before="240" w:after="1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DD"/>
    <w:rPr>
      <w:rFonts w:eastAsiaTheme="majorEastAsia" w:cs="Arial"/>
      <w:bCs/>
      <w:sz w:val="20"/>
      <w:szCs w:val="20"/>
    </w:rPr>
  </w:style>
  <w:style w:type="character" w:customStyle="1" w:styleId="Heading3Char">
    <w:name w:val="Heading 3 Char"/>
    <w:basedOn w:val="DefaultParagraphFont"/>
    <w:link w:val="Heading3"/>
    <w:uiPriority w:val="9"/>
    <w:rsid w:val="005E27C9"/>
    <w:rPr>
      <w:rFonts w:ascii="Times New Roman" w:eastAsiaTheme="majorEastAsia" w:hAnsi="Times New Roman" w:cs="Arial"/>
      <w:b/>
      <w:bCs/>
      <w:szCs w:val="24"/>
    </w:rPr>
  </w:style>
  <w:style w:type="paragraph" w:styleId="ListParagraph">
    <w:name w:val="List Paragraph"/>
    <w:basedOn w:val="Normal"/>
    <w:uiPriority w:val="34"/>
    <w:qFormat/>
    <w:rsid w:val="005E27C9"/>
    <w:pPr>
      <w:ind w:left="720"/>
      <w:contextualSpacing/>
    </w:pPr>
  </w:style>
  <w:style w:type="table" w:styleId="TableGrid">
    <w:name w:val="Table Grid"/>
    <w:basedOn w:val="TableNormal"/>
    <w:uiPriority w:val="59"/>
    <w:rsid w:val="005E27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3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83"/>
    <w:rPr>
      <w:rFonts w:ascii="Tahoma" w:hAnsi="Tahoma" w:cs="Tahoma"/>
      <w:sz w:val="16"/>
      <w:szCs w:val="16"/>
    </w:rPr>
  </w:style>
  <w:style w:type="paragraph" w:customStyle="1" w:styleId="Tablebody">
    <w:name w:val="*Table body"/>
    <w:rsid w:val="00060754"/>
    <w:pPr>
      <w:widowControl w:val="0"/>
      <w:suppressAutoHyphens/>
      <w:autoSpaceDE w:val="0"/>
      <w:autoSpaceDN w:val="0"/>
      <w:adjustRightInd w:val="0"/>
      <w:spacing w:after="0" w:line="180" w:lineRule="atLeast"/>
      <w:textAlignment w:val="center"/>
    </w:pPr>
    <w:rPr>
      <w:rFonts w:ascii="ITC Franklin Gothic Std Book" w:eastAsia="Times New Roman" w:hAnsi="ITC Franklin Gothic Std Book" w:cs="FranklinGothic-Book"/>
      <w:color w:val="000000"/>
      <w:sz w:val="18"/>
      <w:szCs w:val="15"/>
      <w:lang w:val="en-US"/>
    </w:rPr>
  </w:style>
  <w:style w:type="character" w:customStyle="1" w:styleId="A12">
    <w:name w:val="A12"/>
    <w:uiPriority w:val="99"/>
    <w:rsid w:val="00060754"/>
    <w:rPr>
      <w:rFonts w:cs="Minion Pro"/>
      <w:color w:val="000000"/>
      <w:sz w:val="11"/>
      <w:szCs w:val="11"/>
    </w:rPr>
  </w:style>
  <w:style w:type="character" w:styleId="Hyperlink">
    <w:name w:val="Hyperlink"/>
    <w:basedOn w:val="DefaultParagraphFont"/>
    <w:uiPriority w:val="99"/>
    <w:unhideWhenUsed/>
    <w:rsid w:val="00060754"/>
    <w:rPr>
      <w:color w:val="0000FF" w:themeColor="hyperlink"/>
      <w:u w:val="single"/>
    </w:rPr>
  </w:style>
  <w:style w:type="paragraph" w:styleId="PlainText">
    <w:name w:val="Plain Text"/>
    <w:aliases w:val="TableText"/>
    <w:basedOn w:val="Normal"/>
    <w:link w:val="PlainTextChar"/>
    <w:autoRedefine/>
    <w:qFormat/>
    <w:rsid w:val="003646D9"/>
    <w:pPr>
      <w:spacing w:before="0" w:line="240" w:lineRule="auto"/>
      <w:jc w:val="center"/>
    </w:pPr>
    <w:rPr>
      <w:rFonts w:asciiTheme="minorHAnsi" w:eastAsia="Cambria" w:hAnsiTheme="minorHAnsi" w:cs="Consolas"/>
      <w:sz w:val="20"/>
      <w:szCs w:val="21"/>
    </w:rPr>
  </w:style>
  <w:style w:type="character" w:customStyle="1" w:styleId="PlainTextChar">
    <w:name w:val="Plain Text Char"/>
    <w:aliases w:val="TableText Char"/>
    <w:basedOn w:val="DefaultParagraphFont"/>
    <w:link w:val="PlainText"/>
    <w:rsid w:val="003646D9"/>
    <w:rPr>
      <w:rFonts w:eastAsia="Cambria"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9"/>
    <w:pPr>
      <w:spacing w:before="120" w:after="0" w:line="360" w:lineRule="auto"/>
      <w:jc w:val="both"/>
    </w:pPr>
    <w:rPr>
      <w:rFonts w:ascii="Times New Roman" w:hAnsi="Times New Roman" w:cs="Arial"/>
      <w:szCs w:val="24"/>
    </w:rPr>
  </w:style>
  <w:style w:type="paragraph" w:styleId="Heading1">
    <w:name w:val="heading 1"/>
    <w:basedOn w:val="Normal"/>
    <w:next w:val="Normal"/>
    <w:link w:val="Heading1Char"/>
    <w:autoRedefine/>
    <w:uiPriority w:val="9"/>
    <w:qFormat/>
    <w:rsid w:val="001212DD"/>
    <w:pPr>
      <w:keepNext/>
      <w:keepLines/>
      <w:outlineLvl w:val="0"/>
    </w:pPr>
    <w:rPr>
      <w:rFonts w:asciiTheme="minorHAnsi" w:eastAsiaTheme="majorEastAsia" w:hAnsiTheme="minorHAnsi"/>
      <w:bCs/>
      <w:sz w:val="20"/>
      <w:szCs w:val="20"/>
    </w:rPr>
  </w:style>
  <w:style w:type="paragraph" w:styleId="Heading3">
    <w:name w:val="heading 3"/>
    <w:basedOn w:val="Normal"/>
    <w:next w:val="Normal"/>
    <w:link w:val="Heading3Char"/>
    <w:autoRedefine/>
    <w:uiPriority w:val="9"/>
    <w:unhideWhenUsed/>
    <w:qFormat/>
    <w:rsid w:val="005E27C9"/>
    <w:pPr>
      <w:keepNext/>
      <w:keepLines/>
      <w:spacing w:before="240" w:after="1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DD"/>
    <w:rPr>
      <w:rFonts w:eastAsiaTheme="majorEastAsia" w:cs="Arial"/>
      <w:bCs/>
      <w:sz w:val="20"/>
      <w:szCs w:val="20"/>
    </w:rPr>
  </w:style>
  <w:style w:type="character" w:customStyle="1" w:styleId="Heading3Char">
    <w:name w:val="Heading 3 Char"/>
    <w:basedOn w:val="DefaultParagraphFont"/>
    <w:link w:val="Heading3"/>
    <w:uiPriority w:val="9"/>
    <w:rsid w:val="005E27C9"/>
    <w:rPr>
      <w:rFonts w:ascii="Times New Roman" w:eastAsiaTheme="majorEastAsia" w:hAnsi="Times New Roman" w:cs="Arial"/>
      <w:b/>
      <w:bCs/>
      <w:szCs w:val="24"/>
    </w:rPr>
  </w:style>
  <w:style w:type="paragraph" w:styleId="ListParagraph">
    <w:name w:val="List Paragraph"/>
    <w:basedOn w:val="Normal"/>
    <w:uiPriority w:val="34"/>
    <w:qFormat/>
    <w:rsid w:val="005E27C9"/>
    <w:pPr>
      <w:ind w:left="720"/>
      <w:contextualSpacing/>
    </w:pPr>
  </w:style>
  <w:style w:type="table" w:styleId="TableGrid">
    <w:name w:val="Table Grid"/>
    <w:basedOn w:val="TableNormal"/>
    <w:uiPriority w:val="59"/>
    <w:rsid w:val="005E27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3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83"/>
    <w:rPr>
      <w:rFonts w:ascii="Tahoma" w:hAnsi="Tahoma" w:cs="Tahoma"/>
      <w:sz w:val="16"/>
      <w:szCs w:val="16"/>
    </w:rPr>
  </w:style>
  <w:style w:type="paragraph" w:customStyle="1" w:styleId="Tablebody">
    <w:name w:val="*Table body"/>
    <w:rsid w:val="00060754"/>
    <w:pPr>
      <w:widowControl w:val="0"/>
      <w:suppressAutoHyphens/>
      <w:autoSpaceDE w:val="0"/>
      <w:autoSpaceDN w:val="0"/>
      <w:adjustRightInd w:val="0"/>
      <w:spacing w:after="0" w:line="180" w:lineRule="atLeast"/>
      <w:textAlignment w:val="center"/>
    </w:pPr>
    <w:rPr>
      <w:rFonts w:ascii="ITC Franklin Gothic Std Book" w:eastAsia="Times New Roman" w:hAnsi="ITC Franklin Gothic Std Book" w:cs="FranklinGothic-Book"/>
      <w:color w:val="000000"/>
      <w:sz w:val="18"/>
      <w:szCs w:val="15"/>
      <w:lang w:val="en-US"/>
    </w:rPr>
  </w:style>
  <w:style w:type="character" w:customStyle="1" w:styleId="A12">
    <w:name w:val="A12"/>
    <w:uiPriority w:val="99"/>
    <w:rsid w:val="00060754"/>
    <w:rPr>
      <w:rFonts w:cs="Minion Pro"/>
      <w:color w:val="000000"/>
      <w:sz w:val="11"/>
      <w:szCs w:val="11"/>
    </w:rPr>
  </w:style>
  <w:style w:type="character" w:styleId="Hyperlink">
    <w:name w:val="Hyperlink"/>
    <w:basedOn w:val="DefaultParagraphFont"/>
    <w:uiPriority w:val="99"/>
    <w:unhideWhenUsed/>
    <w:rsid w:val="00060754"/>
    <w:rPr>
      <w:color w:val="0000FF" w:themeColor="hyperlink"/>
      <w:u w:val="single"/>
    </w:rPr>
  </w:style>
  <w:style w:type="paragraph" w:styleId="PlainText">
    <w:name w:val="Plain Text"/>
    <w:aliases w:val="TableText"/>
    <w:basedOn w:val="Normal"/>
    <w:link w:val="PlainTextChar"/>
    <w:autoRedefine/>
    <w:qFormat/>
    <w:rsid w:val="003646D9"/>
    <w:pPr>
      <w:spacing w:before="0" w:line="240" w:lineRule="auto"/>
      <w:jc w:val="center"/>
    </w:pPr>
    <w:rPr>
      <w:rFonts w:asciiTheme="minorHAnsi" w:eastAsia="Cambria" w:hAnsiTheme="minorHAnsi" w:cs="Consolas"/>
      <w:sz w:val="20"/>
      <w:szCs w:val="21"/>
    </w:rPr>
  </w:style>
  <w:style w:type="character" w:customStyle="1" w:styleId="PlainTextChar">
    <w:name w:val="Plain Text Char"/>
    <w:aliases w:val="TableText Char"/>
    <w:basedOn w:val="DefaultParagraphFont"/>
    <w:link w:val="PlainText"/>
    <w:rsid w:val="003646D9"/>
    <w:rPr>
      <w:rFonts w:eastAsia="Cambria"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77DF-25D7-456B-82A8-53E87849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briggs18</dc:creator>
  <cp:lastModifiedBy>Valentina Lichtner</cp:lastModifiedBy>
  <cp:revision>33</cp:revision>
  <dcterms:created xsi:type="dcterms:W3CDTF">2014-06-19T15:13:00Z</dcterms:created>
  <dcterms:modified xsi:type="dcterms:W3CDTF">2014-07-21T17:08:00Z</dcterms:modified>
</cp:coreProperties>
</file>